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https://www.autoritedelaconcurrence.fr/fr/decision-de-controle-des-concentrations/relative-la-prise-de-controle-conjoint-du-groupe-audensiel</w:t>
      </w:r>
    </w:p>
    <w:p>
      <w:r>
        <w:t>Pages translated : 2</w:t>
      </w:r>
    </w:p>
    <w:p/>
    <w:p>
      <w:r>
        <w:rPr>
          <w:b/>
        </w:rPr>
        <w:t>[Pages 1–2]</w:t>
      </w:r>
    </w:p>
    <w:p>
      <w:r>
        <w:t xml:space="preserve">FRENCH REPUBLIC  </w:t>
        <w:br/>
        <w:t xml:space="preserve">Decision No. 22-DCC-185 of September 28, 2022  </w:t>
        <w:br/>
        <w:t xml:space="preserve">regarding the joint control acquisition of the Audensiel group by the  </w:t>
        <w:br/>
        <w:t xml:space="preserve">company Sagard and Mr. Nicolas Pacault  </w:t>
        <w:br/>
        <w:t xml:space="preserve">The Competition Authority,  </w:t>
        <w:br/>
        <w:t xml:space="preserve">Having regard to the complete notification file submitted to the mergers department on September 7, 2022,  </w:t>
        <w:br/>
        <w:t xml:space="preserve">concerning the joint control acquisition of the Audensiel group by the company Sagard and Mr. Nicolas Pacault, formalized by an investment protocol and a draft shareholders' agreement dated July 28,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joint control acquisition of Audensiel SAS, the parent company of the Audensiel group, active in the information technology services sector by the company Sagard and Mr. Nicolas Pacault, founder of Audensiel.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22-218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