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https://www.autoritedelaconcurrence.fr/fr/decision-de-controle-des-concentrations/relative-la-prise-de-controle-conjoint-du-groupe-aventim</w:t>
      </w:r>
    </w:p>
    <w:p>
      <w:r>
        <w:t>Pages translated : 2</w:t>
      </w:r>
    </w:p>
    <w:p/>
    <w:p>
      <w:r>
        <w:rPr>
          <w:b/>
        </w:rPr>
        <w:t>[Pages 1–2]</w:t>
      </w:r>
    </w:p>
    <w:p>
      <w:r>
        <w:t xml:space="preserve">FRENCH REPUBLIC  </w:t>
        <w:br/>
        <w:t xml:space="preserve">Decision No. 23-DCC-128 of June 27, 2023  </w:t>
        <w:br/>
        <w:t xml:space="preserve">regarding the joint control of the Aventim group by  </w:t>
        <w:br/>
        <w:t xml:space="preserve">Omnes Capital and Holding Magellan  </w:t>
        <w:br/>
        <w:t xml:space="preserve">The Competition Authority,  </w:t>
        <w:br/>
        <w:t xml:space="preserve">Having regard to the complete notification file submitted to the mergers department on June 9, 2023, concerning the joint control of the Aventim group by the investment fund Omnes Capital and the company Holding Magellan, formalized by a purchase offer dated April 26,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of the company Peak Invest, parent company of the Aventim group, by the company Omnes Capital and the company Holding Magellan, which currently exercises exclusive control over the company Peak Invest. It constitutes a concentration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23-132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