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https://www.autoritedelaconcurrence.fr/fr/decision-de-controle-des-concentrations/relative-la-prise-de-controle-conjoint-du-groupe-babilou</w:t>
      </w:r>
    </w:p>
    <w:p>
      <w:r>
        <w:t>Pages translated : 2</w:t>
      </w:r>
    </w:p>
    <w:p/>
    <w:p>
      <w:r>
        <w:rPr>
          <w:b/>
        </w:rPr>
        <w:t>[Pages 1–2]</w:t>
      </w:r>
    </w:p>
    <w:p>
      <w:r>
        <w:t xml:space="preserve">FRENCH REPUBLIC  </w:t>
        <w:br/>
        <w:t xml:space="preserve">Decision No. 13-DCC-113 of August 22, 2013  </w:t>
        <w:br/>
        <w:t xml:space="preserve">regarding the joint control acquisition of the Babilou group by Cobepa SA and the Carle Family  </w:t>
        <w:br/>
        <w:t xml:space="preserve">The Competition Authority,  </w:t>
        <w:br/>
        <w:t xml:space="preserve">Having regard to the complete notification file sent to the mergers department on July 31, 2013, concerning the joint control acquisition of the Babilou group by Cobepa SA and the Carle Family, materialized by a share transfer agreement dated July 26, 2013;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Cobepa SA is an investment company under Belgian law. The notified operation consists of the joint control acquisition of the Babilou Group, a company active in childcare management services, by Cobepa SA, alongside the Carle Family. It constitutes a concentration operation within the meaning of Article L. 430-1 of the Commercial Code. Given the turnover achieved by the companies concerned,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13-129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