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https://www.autoritedelaconcurrence.fr/fr/decision-de-controle-des-concentrations/relative-la-prise-de-controle-conjoint-du-groupe-belambra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14-DCC-06 of January 15, 2014  </w:t>
        <w:br/>
        <w:t xml:space="preserve">regarding the joint control acquisition of the Belambra group by the  </w:t>
        <w:br/>
        <w:t xml:space="preserve">company Caravelle alongside the Caisse des dépôts et des consignations  </w:t>
        <w:br/>
        <w:t xml:space="preserve">The Competition Authority,  </w:t>
        <w:br/>
        <w:t xml:space="preserve">Having regard to the complete notification file sent to the mergers department on December 18,  </w:t>
        <w:br/>
        <w:t xml:space="preserve">2013, concerning the joint control acquisition of the Belambra group by the company Caravelle and the  </w:t>
        <w:br/>
        <w:t xml:space="preserve">Caisse des dépôts et des consignations, materialized by a letter of intent dated December 5,  </w:t>
        <w:br/>
        <w:t xml:space="preserve">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Belambra group, active in  </w:t>
        <w:br/>
        <w:t xml:space="preserve">the leisure tourism sector, by the company Caravelle, an industrial holding company whose  </w:t>
        <w:br/>
        <w:t xml:space="preserve">activity consists of acquiring stakes and managing companies, and the Caisse des dépôts  </w:t>
        <w:br/>
        <w:t xml:space="preserve">et des consignations. It constitutes a concentration operation within the meaning of Article L. 430-1  </w:t>
        <w:br/>
        <w:t xml:space="preserve">of the Commercial Code. Given the turnover achieved by the companies involved, the operation  </w:t>
        <w:br/>
        <w:t xml:space="preserve">reaches the thresholds mentioned in Article 1.1 of Council Regulation No. 139/2004, of January 20,  </w:t>
        <w:br/>
        <w:t xml:space="preserve">2004, concerning the control of concentrations between enterprises, but each of the companies  </w:t>
        <w:br/>
        <w:t xml:space="preserve">concerned generates more than two-thirds of its total turnover within the Community in a single  </w:t>
        <w:br/>
        <w:t xml:space="preserve">Member State.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13-248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