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https://www.autoritedelaconcurrence.fr/fr/decision-de-controle-des-concentrations/relative-la-prise-de-controle-conjoint-du-groupe-bompard</w:t>
      </w:r>
    </w:p>
    <w:p>
      <w:r>
        <w:t>Pages translated : 2</w:t>
      </w:r>
    </w:p>
    <w:p/>
    <w:p>
      <w:r>
        <w:rPr>
          <w:b/>
        </w:rPr>
        <w:t>[Pages 1–2]</w:t>
      </w:r>
    </w:p>
    <w:p>
      <w:r>
        <w:t xml:space="preserve">FRENCH REPUBLIC  </w:t>
        <w:br/>
        <w:t xml:space="preserve">Decision No. 18-DCC-23 of February 15, 2018  </w:t>
        <w:br/>
        <w:t xml:space="preserve">regarding the joint control acquisition of the Bompard group by Apax Partners SAS and Compagnie Marco Polo SAS  </w:t>
        <w:br/>
        <w:t xml:space="preserve">The Competition Authority,  </w:t>
        <w:br/>
        <w:t xml:space="preserve">Having regard to the complete notification file submitted to the mergers department on January 22, 2018, concerning the joint control acquisition of the Bompard group by Apax Partners SAS and Compagnie Marco Polo SAS, formalized by a purchase promise regarding the Bompard group signed by the parties on December 22, 2017;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transaction consists of the joint control acquisition of the Bompard group by Apax Partners SAS and Compagnie Marco Polo SAS.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consistently defined by decision-making practice. The parties are simultaneously active in the downstream market for the retail sale of clothing and accessories and, as suppliers, in the upstream market for the supply of clothing and accessories.  </w:t>
        <w:br/>
        <w:t xml:space="preserve">3. Regardless of the segmentations retained, the combined market shares of the parties are below 25%.  </w:t>
        <w:br/>
        <w:t>4. Given the elements of the file and in particular in light of point 384 of the guidelines of the Competition Authority regarding the control of concentrations, the operation is not likely to harm competition.</w:t>
      </w:r>
    </w:p>
    <w:p>
      <w:r>
        <w:t xml:space="preserve">DECIDES  </w:t>
        <w:br/>
        <w:t xml:space="preserve">Sole Article: The transaction notified under number 18-008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