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https://www.autoritedelaconcurrence.fr/fr/decision-de-controle-des-concentrations/relative-la-prise-de-controle-conjoint-du-groupe-bourdoncle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17-DCC-143 of August 25, 2017  </w:t>
        <w:br/>
        <w:t xml:space="preserve">regarding the joint control acquisition of the Bourdoncle group by the  </w:t>
        <w:br/>
        <w:t xml:space="preserve">companies Perceva and Le Mabillon  </w:t>
        <w:br/>
        <w:t xml:space="preserve">The Competition Authority,  </w:t>
        <w:br/>
        <w:t xml:space="preserve">Having regard to the complete notification file submitted to the mergers department on August 1, 2017,  </w:t>
        <w:br/>
        <w:t xml:space="preserve">concerning the joint control acquisition of the Bourdoncle group by the companies Perceva and Le  </w:t>
        <w:br/>
        <w:t xml:space="preserve">Mabillon, formalized by a memorandum of understanding dated May 29,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Perceva and Le  </w:t>
        <w:br/>
        <w:t xml:space="preserve">Mabillon of the Bourdoncle group. It constitutes a concentration within the meaning of Article L. 430-1  </w:t>
        <w:br/>
        <w:t xml:space="preserve">of the Commercial Code. Given the turnover achieved by the companies involved, the operation does not fall under the jurisdiction of the European Union. On the other hand,  </w:t>
        <w:br/>
        <w:t xml:space="preserve">the control thresholds provided for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commercial catering, pastry,  </w:t>
        <w:br/>
        <w:t xml:space="preserve">and the distribution of food products to out-of-home catering, on which the  </w:t>
        <w:br/>
        <w:t xml:space="preserve">parties are simultaneously active. These markets are consistently defined by the  </w:t>
        <w:br/>
        <w:t xml:space="preserve">decision-making practice of the Competition Authority.  </w:t>
        <w:br/>
        <w:t xml:space="preserve">3. Regardless of the segmentations retained, the estimated market shares of the parties are  </w:t>
        <w:br/>
        <w:t xml:space="preserve">less than 5%.  </w:t>
        <w:br/>
        <w:t xml:space="preserve">4. Given the elements of the file and in accordance with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17-166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