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https://www.autoritedelaconcurrence.fr/fr/decision-de-controle-des-concentrations/relative-la-prise-de-controle-conjoint-du-groupe-cance-par</w:t>
      </w:r>
    </w:p>
    <w:p>
      <w:r>
        <w:t>Pages translated : 2</w:t>
      </w:r>
    </w:p>
    <w:p/>
    <w:p>
      <w:r>
        <w:rPr>
          <w:b/>
        </w:rPr>
        <w:t>[Pages 1–2]</w:t>
      </w:r>
    </w:p>
    <w:p>
      <w:r>
        <w:t xml:space="preserve">FRENCH REPUBLIC  </w:t>
        <w:br/>
        <w:t xml:space="preserve">Decision No. 21-DCC-39 of March 5, 2021  </w:t>
        <w:br/>
        <w:t xml:space="preserve">regarding the joint control acquisition of the Cancé group by the Briand group and the company Cancé Développement  </w:t>
        <w:br/>
        <w:t xml:space="preserve">The Competition Authority,  </w:t>
        <w:br/>
        <w:t xml:space="preserve">Having regard to the complete notification file sent to the mergers department on February 11, 2021, concerning the joint control acquisition of the Cancé group by the Briand group and the company Cancé Développement, formalized by a transfer protocol dated January 7, 2021;  </w:t>
        <w:br/>
        <w:t xml:space="preserve">Having regard to Book IV of the Commercial Code relating to the freedom of prices and competition, and in particular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control acquisition by the Briand group and the company Cancé Développement of the Cancé group, which is active in the construction sector.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21-006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