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https://www.autoritedelaconcurrence.fr/fr/decision-de-controle-des-concentrations/relative-la-prise-de-controle-conjoint-du-groupe-carglass</w:t>
      </w:r>
    </w:p>
    <w:p>
      <w:r>
        <w:t>Pages translated : 12</w:t>
      </w:r>
    </w:p>
    <w:p/>
    <w:p>
      <w:r>
        <w:rPr>
          <w:b/>
        </w:rPr>
        <w:t>[Pages 1–3]</w:t>
      </w:r>
    </w:p>
    <w:p>
      <w:r>
        <w:t>FRENCH REPUBLIC</w:t>
        <w:br/>
        <w:t>Decision No. 21-DCC-34 of March 1, 2021</w:t>
        <w:br/>
        <w:t>regarding the joint acquisition of control of the Carglass Maison group by</w:t>
        <w:br/>
        <w:t>the companies Mutares and Homeserve</w:t>
        <w:br/>
        <w:t>The Competition Authority,</w:t>
        <w:br/>
        <w:t>Having regard to the notification file submitted in full to the merger control service on February 8, 2021,</w:t>
        <w:br/>
        <w:t>regarding the joint acquisition of control of the companies Carglass Maison, Maisoning Eco Habitat, and</w:t>
        <w:br/>
        <w:t>Groupement Saint Maurien by the companies Homeserve Plc and Mutares SE &amp; Co. KGaA,</w:t>
        <w:br/>
        <w:t>formalized by a unilateral purchase promise dated December 18, 2020;</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r>
    </w:p>
    <w:p>
      <w:r>
        <w:t>Summary1</w:t>
        <w:br/>
        <w:t>Pursuant to the decision below, the Competition Authority authorizes the joint acquisition of control by the companies Mutares and Homeserve over the Carglass Maison group.</w:t>
        <w:br/>
        <w:t>Mutares is a German investment company specializing in the acquisition and restructuring of distressed companies, active in France through its controlling interests in various companies. Homeserve is an English group that offers home assistance contracts in France, as well as installation, maintenance, and repair services for heating, ventilation, air conditioning, and refrigeration equipment. The Carglass Maison group, for its part, offers emergency, repair, and renovation work and operates in all trades for private and professional clients. The group is currently subject to a conciliation procedure before the Commercial Court of Nanterre opened on December 24, 2020.</w:t>
        <w:br/>
        <w:t>In the context of this decision, the Authority notably analyzed the effects of the operation on the market for home emergency, repair, and maintenance services, which had not been defined to date. This market includes home emergency services provided at the request of a consumer with a one-time, urgent or non-urgent need for assistance from a specialized provider in one or more trades.</w:t>
        <w:br/>
        <w:t>In this market, the Authority considered two main segments: one related to interventions in the building sector, the other related to interventions on home equipment. The parties also suggested a number of segmentations based on the type of clientele and the urgency of the services. As with other service sectors for end clients, the Authority considered a market dimension that is at least subnational. However, the exact delimitation and segmentation of these markets were left open, with the competitive analysis remaining unchanged, regardless of those considered.</w:t>
        <w:br/>
        <w:t>At the end of its competitive analysis, the Authority found that the operation leads to very limited overlaps in activities between Homeserve and Carglass in the markets for home emergency, repair, and maintenance services. It also noted the existence of vertical links between Carglass's activities in these markets and those of Homeserve in the home assistance market. Finally, the investigation revealed a link between Homeserve's activities in the climate engineering market and those of Carglass Maison in the markets for secondary construction work in the building sector that could characterize conglomerate effects.</w:t>
        <w:br/>
        <w:t>The Authority nevertheless ruled out any risk of anti-competitive effects related to the operation, taking into account, firstly, the market shares of the parties and secondly, the presence of numerous competitors in all markets concerned by the operation.</w:t>
        <w:br/>
        <w:t>At the end of its competitive analysis, the Authority authorized the operation unconditionally.</w:t>
        <w:br/>
        <w:t>1This summary is strictly informative. Only the reasons for the decision numbered below are authoritative.</w:t>
      </w:r>
    </w:p>
    <w:p>
      <w:r>
        <w:t>THE COMPANIES CONCERNED AND THE OPERATION</w:t>
        <w:br/>
        <w:t>1. Mutares SE &amp; Co. KGaA (hereinafter "Mutares", and together with Homeserve Plc "the buyers") is a company under German law, specializing in the acquisition and restructuring of distressed companies. It is controlled by a general partner, the company Mutares Management SE, which is itself exclusively controlled by [...]. Mutares is active in France through its controlling interests in various companies.</w:t>
        <w:br/>
        <w:t>2. Homeserve Plc, a company under English law, is the head of the Homeserve group, which includes companies specialized in repair, construction, and maintenance services for home equipment in Europe and North America. Homeserve Plc is not controlled within the meaning of merger control law.</w:t>
        <w:br/>
        <w:t>3. In France, Homeserve Plc offers its services through the company Homeserve France Holding SAS and its subsidiaries2 (hereinafter "Homeserve") which primarily offer home assistance contracts to individuals, as well as installation, maintenance, and repair services for heating, ventilation, air conditioning, and refrigeration equipment to private and professional clients.</w:t>
        <w:br/>
        <w:t>4. Carglass Maison, Maisoning Eco Habitat, and Groupement Saint Maurien (hereinafter collectively "Carglass Maison" or "the target"), companies under French law, are currently 100% owned by Belron Extension SAS, a subsidiary of the Belgian group D'Ieteren. Carglass Maison offers emergency, repair, and renovation work and operates in all trades (locksmithing, plumbing, electricity, painting, etc.) exclusively in France for private and professional clients. The companies constituting the target are currently subject to a conciliation procedure before the Commercial Court of Nanterre opened on December 24, 2020.</w:t>
        <w:br/>
        <w:t>5. The operation, formalized by a unilateral purchase promise dated December 18, 2020, consists of the acquisition of Carglass Maison by the companies Mutares and Homeserve through a company created for the operation, Mouse Holding SAS, which will acquire the entirety of the capital and voting rights of the companies of the Carglass Maison group.</w:t>
        <w:br/>
        <w:t>6. The capital of Mouse Holding SAS will be held 80% by Mutares and 20% by Homeserve. The shareholders' agreement provides that the company will be co-controlled by its two shareholders, both of whom have a veto right over decisions relating notably to the establishment of the annual budget and the commercial strategy of Carglass Maison.</w:t>
        <w:br/>
        <w:t>7. As it results in the joint acquisition of control of the companies of the Carglass Maison group by Mutares and Homeserve, the notified operation constitutes a concentration within the meaning of Article L.430-1 of the Commercial Code.</w:t>
        <w:br/>
        <w:t>8. The companies concerned together achieve a total worldwide turnover excluding taxes of more than 150 million euros (Mutares: [≥ 150] million euros for the fiscal year ending December 31, 2019; Homeserve: [≥ 150] million euros for the fiscal year ending March 31, 2020; Carglass Maison: 42.5 million euros for the fiscal year ending December 31, 2019). Each of these companies has achieved a turnover in France exceeding 50 million euros (Mutares: [≥ 50] million euros for the fiscal year ending December 31, 2019; 2 These companies are controlled by Homeserve Plc except for the company maison.fr, held at […] by Homeserve France Holding SAS, which is not controlled by the Homeserve group.</w:t>
      </w:r>
    </w:p>
    <w:p>
      <w:r>
        <w:rPr>
          <w:b/>
        </w:rPr>
        <w:t>[Pages 4–6]</w:t>
      </w:r>
    </w:p>
    <w:p>
      <w:r>
        <w:t>Homeserve: [≥ 50] million euros for the fiscal year ending March 31, 2020, Carglass Maison: 42.5 million euros for the fiscal year ending December 31, 2019).</w:t>
      </w:r>
    </w:p>
    <w:p>
      <w:r>
        <w:t>9. Given these revenue figures, the operation does not fall under the jurisdiction of the European Union. However, the control thresholds mentioned in I of Article L. 430-2 of the Commercial Code are exceeded. This operation is therefore subject to the provisions of Articles L.430-3 and following of the Commercial Code relating to economic concentration.</w:t>
      </w:r>
    </w:p>
    <w:p>
      <w:r>
        <w:t>DEFINITION OF RELEVANT MARKETS</w:t>
      </w:r>
    </w:p>
    <w:p>
      <w:r>
        <w:t>10. Homeserve is primarily active in the home assistance services market (A). It is also, secondarily, involved in the climate engineering markets (B).</w:t>
      </w:r>
    </w:p>
    <w:p>
      <w:r>
        <w:t>11. Carglass Maison, for its part, is active in the home emergency services markets (C) and secondary works (D).</w:t>
      </w:r>
    </w:p>
    <w:p>
      <w:r>
        <w:t>12. To date, Mutares is not active in any of these markets nor in any upstream, downstream, or related markets in which the other two parties are active.</w:t>
      </w:r>
    </w:p>
    <w:p>
      <w:r>
        <w:t>A. THE ASSISTANCE MARKETS</w:t>
      </w:r>
    </w:p>
    <w:p>
      <w:r>
        <w:t>1. THE SERVICE MARKETS</w:t>
      </w:r>
    </w:p>
    <w:p>
      <w:r>
        <w:t>13. European decision-making practice has distinguished assistance markets from insurance markets by noting that, regarding assistance, the provider organizes the assistance for the insured, while the insurer covers the costs related to the occurrence of an unforeseen event. The European Commission has thus identified the existence of (i) a travel assistance market and (ii) a car assistance market.</w:t>
      </w:r>
    </w:p>
    <w:p>
      <w:r>
        <w:t>14. French decision-making practice has noted that the assistance market includes cash or in-kind services aimed at helping the insured when faced with an unforeseen event. In this sector, the following have been distinguished: (i) medical assistance (medical repatriation, coverage of medical expenses abroad), (ii) domestic assistance (childcare, delivery of medications), (iii) technical assistance (repair services, provision of replacement vehicles), and (iv) home assistance.</w:t>
      </w:r>
    </w:p>
    <w:p>
      <w:r>
        <w:t>15. The practice has considered several segments in the home assistance market: (i) services provided to end consumers who would contract individually and (ii) services provided to professionals who would purchase home assistance services to cover their own needs or resell these services to their clients, most often as part of bundled offers with other products, for example, to extend the guarantees provided in mandatory home insurance contracts or to offer specific guarantees on certain home equipment.</w:t>
      </w:r>
    </w:p>
    <w:p>
      <w:r>
        <w:t>16. Regarding home assistance services provided to professionals, a distinction has been made between (i) emergency services and (ii) in-kind services (for example, replacement of defective equipment). Emergency assistance services and in-kind assistance services are not provided under the same circumstances and do not meet the same needs. The former are implemented quickly after the occurrence of damage, while in-kind home assistance services are provided at a later stage, after emergency services have been rendered.</w:t>
      </w:r>
    </w:p>
    <w:p>
      <w:r>
        <w:t>17. In any case, the exact delimitation of the home assistance markets can be left open, as the conclusions of the competitive analysis remain unchanged, regardless of the segmentation considered.</w:t>
      </w:r>
    </w:p>
    <w:p>
      <w:r>
        <w:t>18. In this case, Homeserve offers home assistance contracts covering risks not covered by mandatory multi-risk home insurance contracts to individuals, end consumers, as part of partnership contracts, notably with companies.</w:t>
      </w:r>
    </w:p>
    <w:p>
      <w:r>
        <w:t>2. THE GEOGRAPHICAL MARKETS</w:t>
      </w:r>
    </w:p>
    <w:p>
      <w:r>
        <w:t>19. European and French decision-making practice considers that the markets for assistance services have the same geographical dimension as insurance markets.</w:t>
      </w:r>
    </w:p>
    <w:p>
      <w:r>
        <w:t>20. Thus, with the exception of certain insurances covering large-scale risks, insurance product markets have been considered to be of national dimension, taking into account consumer preferences, the existence of national legislation and tax constraints, the current structure of these markets, or the regulatory systems concerning this sector. While recognizing that insurance markets were increasingly open to European competition, the European Commission confirmed the national dimension of these markets.</w:t>
      </w:r>
    </w:p>
    <w:p>
      <w:r>
        <w:t>21. There is no reason to challenge this decision-making practice in the present case.</w:t>
      </w:r>
    </w:p>
    <w:p>
      <w:r>
        <w:t>B. THE CLIMATE ENGINEERING MARKETS</w:t>
      </w:r>
    </w:p>
    <w:p>
      <w:r>
        <w:t>1. THE PRODUCT MARKETS</w:t>
      </w:r>
    </w:p>
    <w:p>
      <w:r>
        <w:t>22. The climate engineering sector includes installation, maintenance, and repair work of heating, ventilation, and air conditioning equipment, as well as related plumbing, ductwork, and sheet metal work. These services are carried out within the framework of maintenance-renovation work on non-residential buildings and housing, primarily for private companies, property managers, and individuals.</w:t>
      </w:r>
    </w:p>
    <w:p>
      <w:r>
        <w:t>23. National and European decision-making practice has had the opportunity to rule on several occasions regarding concentration operations in the climate engineering sector. It has considered that climate engineering work can be distinguished from electrical engineering work or mechanical engineering work. It has also considered that within the climate engineering work market, a distinction could be made based on the type of work (installation and management/maintenance) and the type of clientele (residential/non-residential, with a potential sub-segmentation within the non-residential clientele between the industrial, tertiary, and infrastructure sectors).</w:t>
      </w:r>
    </w:p>
    <w:p>
      <w:r>
        <w:t>24. In any case, it is not necessary in this instance to resolve the question of the exact delimitation of the markets, as the conclusions of the competitive analysis remain unchanged, regardless of the delimitation retained.</w:t>
      </w:r>
    </w:p>
    <w:p>
      <w:r>
        <w:t>25. In this case, Homeserve provides installation and maintenance services for heating, ventilation, and air conditioning systems and is therefore active in the climate engineering work market.</w:t>
      </w:r>
    </w:p>
    <w:p>
      <w:r>
        <w:t>2. THE GEOGRAPHICAL MARKETS</w:t>
      </w:r>
    </w:p>
    <w:p>
      <w:r>
        <w:t>26. Decision-making practice has not determined the exact geographical delimitation of climate engineering work markets but has generally examined the effects of controlled operations at the national and regional levels. It has indeed noted that the main players in these markets are established at the national level, but that a significant number of players are of regional size.</w:t>
      </w:r>
    </w:p>
    <w:p>
      <w:r>
        <w:t>27. In this case, the precise delimitation of the market can be left open, as, regardless of the definition retained, the conclusions of the competitive analysis will remain unchanged.</w:t>
      </w:r>
    </w:p>
    <w:p>
      <w:r>
        <w:t>C. THE MARKETS FOR HOME EMERGENCY, REPAIR, AND MAINTENANCE SERVICES</w:t>
      </w:r>
    </w:p>
    <w:p>
      <w:r>
        <w:t>1. THE PRODUCT MARKETS</w:t>
      </w:r>
    </w:p>
    <w:p>
      <w:r>
        <w:t>28. To date, competition authorities have not ruled on the existence of a market for home emergency services. The notifying parties believe that the market for home emergency services exists.</w:t>
      </w:r>
    </w:p>
    <w:p>
      <w:r>
        <w:rPr>
          <w:b/>
        </w:rPr>
        <w:t>[Pages 7–9]</w:t>
      </w:r>
    </w:p>
    <w:p>
      <w:r>
        <w:t>construction work in the building sector provides a relevant analytical framework for assessing this activity15.</w:t>
      </w:r>
    </w:p>
    <w:p>
      <w:r>
        <w:t>29. While it is true that Carglass Maison is active in the market for construction work in the context of its building renovation activities (see below), part of its activities does not correspond to such a market due to their more occasional nature and their execution concurrent with damage or an incident. It therefore seems pertinent to consider a market specific to this type of home emergency interventions that integrates home emergency services generating an interaction between an end consumer with a specific, urgent or non-urgent need for assistance and a service provider, whether a craftsman or not, specialized in one or more trades. Such a service may be requested by an end consumer or result from a request that would go through a third party (for example, an assistance provider or an insurer), in which case the service is purchased under a framework agreement between the service provider and the third party.</w:t>
      </w:r>
    </w:p>
    <w:p>
      <w:r>
        <w:t>30. These elements provide an adequate analytical framework to delineate a market for home emergency, repair, and maintenance services, corresponding to part of Carglass Maison's activities, which Homeserve purchases on behalf of its clients as part of its assistance provider activity.</w:t>
      </w:r>
    </w:p>
    <w:p>
      <w:r>
        <w:t>31. In a practical guide related to home emergency services16, intended to inform consumers about their rights, the DGCCRF distinguishes, within home emergency, repair, and maintenance services, on the one hand, those related to the building sector (e.g., masonry, flue gas systems, and climate engineering, including renewable energies — except for operations carried out under contracts related to the operation of heating and air conditioning, which are included in the climate engineering market described above —, chimney sweeping, insulation, carpentry, locksmithing, roofing and roofing work, plumbing, sanitary installation, waterproofing, plastering, painting, glazing, mirror work, wall and floor coverings in all materials, and electrical installation, rainwater drainage, sewage cleaning, and unblocking of pipes, excluding connections to public networks or as part of a public service...) and on the other hand, those related to home equipment (for example: electrical equipment, maintenance and repair of alarm and remote surveillance systems, maintenance and repair of private lifting platforms, pest control and insect control services, maintenance and disinfection of garbage chutes, as well as maintenance of fire extinguishers). The parties also consider this distinction to be relevant.</w:t>
      </w:r>
    </w:p>
    <w:p>
      <w:r>
        <w:t>32. In this case, Carglass Maison is only active in the market for home emergency, repair, and maintenance services in the building sector.</w:t>
      </w:r>
    </w:p>
    <w:p>
      <w:r>
        <w:t>33. In this market, the notifying parties estimate that there are as many segments as there are services or areas of intervention, given the specialization of the service providers. The following segments can be identified: (i) structural work (masonry, insulation, framing, roofing, etc.); (ii) work on internal equipment of the structure (painting, plastering, glazing, mirror work, etc.); (iii) flue gas systems and climate engineering17; (iv) carpentry; (v) locksmithing; (vi) plumbing and sanitary installation; (vii) electrical installations. Further sub-segmentation by trades within these activities is also conceivable.</w:t>
      </w:r>
    </w:p>
    <w:p>
      <w:r>
        <w:t>34. Similar to a consistent practice in the secondary construction markets in the building sector, as well as in the home assistance market, the parties also consider a segmentation between individual and professional clients. Professional clients indeed use framework agreements concluded through competitive tender processes for their needs or to offer their services to end clients. The parties propose a sub-segmentation by type of professional client: (i) insurance companies that need to ensure the services of emergency service providers for assistance contracts concluded by insured individuals, who are most often private clients; (ii) property managers, who use the services of emergency service providers for the buildings they manage; and (iii) companies that need the services of emergency service providers for their professional premises.</w:t>
      </w:r>
    </w:p>
    <w:p>
      <w:r>
        <w:t>35. Finally, a segmentation based on the urgency or non-urgency of the services is proposed by the notifying parties. They indicate that emergency interventions correspond to a specific market positioning on which not all actors are necessarily present. This type of intervention indeed requires specific resources and logistics (availability 24/7 and guaranteed maximum response times, for example within the hour). Furthermore, these interventions are generally more expensive than other non-urgent emergency services.</w:t>
      </w:r>
    </w:p>
    <w:p>
      <w:r>
        <w:t>36. In any case, the exact delineation of the markets for home emergency, repair, and maintenance services can be left open, with the conclusions of the competitive analysis remaining unchanged, regardless of the segmentation considered.</w:t>
      </w:r>
    </w:p>
    <w:p>
      <w:r>
        <w:t>37. In this case, Carglass Maison is active as a provider in the market for home emergency, repair, and maintenance services in the building sector, serving both professional and private clients, for urgent or non-urgent services. Homeserve is active as a professional client in this same market, more specifically in the segment of plumbing and sanitary installation work, for the purchase of services, with a view to offering these interventions to its clients. Additionally, Homeserve On Demand, a subsidiary of Homeserve, also secondarily offers home emergency, repair, and maintenance services for clients in urgent situations.</w:t>
      </w:r>
    </w:p>
    <w:p>
      <w:r>
        <w:t>2. THE GEOGRAPHICAL MARKETS</w:t>
      </w:r>
    </w:p>
    <w:p>
      <w:r>
        <w:t>38. Regarding service provision activities to end clients, the Authority generally considers markets of an infranational dimension. The notifying parties believe that such a delineation would not be relevant in this case, given that "insurers, assistance providers (including Homeserve), and asset and property managers constituting the demand (identical to that of Homeserve) for these services generally use various providers established throughout the French territory."</w:t>
      </w:r>
    </w:p>
    <w:p>
      <w:r>
        <w:t>39. In this case, however, given the territorial presence of Carglass Maison in various urban areas (Angers, Argenteuil, Aulnay, Bordeaux, Brest, Cannes, Chilly-Mazarin, Dijon, Dunkerque, Lille, Lognes, Lyon, Marseille, Montpellier, Nancy, Orléans, Paris, Poitiers, Reims, Rennes, Rouen, Servon, Saint-Nazaire, Strasbourg, Toulon, Toulouse, Tours, and Vannes), a local or at least regional delineation appears relevant for the needs of the decision.</w:t>
      </w:r>
    </w:p>
    <w:p>
      <w:r>
        <w:t>40. Regarding Île-de-France, in other economic sectors, practice has considered that, particularly in the real estate markets, the existence of continuity in the urban area justified a regional analysis. The parties further indicate that "Carglass Maison has pooled its 6 centers and technicians operate throughout Île-de-France based on their availability/routes/location."</w:t>
      </w:r>
    </w:p>
    <w:p>
      <w:r>
        <w:t>41. In any case, the geographical delineation of the markets can be left open, with the conclusions of the competitive analysis remaining unchanged regardless of the delineation considered. In this case, the analysis will therefore be conducted at the level of urban areas, with the exception of Île-de-France, for which a regional analysis will be carried out.</w:t>
      </w:r>
    </w:p>
    <w:p>
      <w:r>
        <w:t>D. THE SECONDARY MARKETS IN THE BUILDING SECTOR</w:t>
      </w:r>
    </w:p>
    <w:p>
      <w:r>
        <w:t>1. THE PRODUCT MARKETS</w:t>
      </w:r>
    </w:p>
    <w:p>
      <w:r>
        <w:t>42. In the building sector, decision-making practice distinguishes between major works, which concern the structure of the building (foundation, walls, roofing, etc.), and secondary works, which concern the cladding and equipment of said structure (various supply networks, insulation, etc.)18.</w:t>
      </w:r>
    </w:p>
    <w:p>
      <w:r>
        <w:t>43. In these two markets, decision-making practice considers a first segmentation based on whether the work is carried out for professional clients (public and commercial) or individuals. A second segmentation based on the use of the building, distinguishing between residential and non-residential buildings, has also been considered.</w:t>
      </w:r>
    </w:p>
    <w:p>
      <w:r>
        <w:t>44. There is no need to challenge these delineations during the examination of the present operation. In any case, in the absence of competitive issues, the question of the exact delineation of the secondary markets in the building sector can remain open.</w:t>
      </w:r>
    </w:p>
    <w:p>
      <w:r>
        <w:t>45. In this case, Carglass Maison is active in the secondary market through its building renovation activities.</w:t>
      </w:r>
    </w:p>
    <w:p>
      <w:r>
        <w:t>2. THE GEOGRAPHICAL MARKETS</w:t>
      </w:r>
    </w:p>
    <w:p>
      <w:r>
        <w:t>46. Decision-making practice retains a national dimension for the building markets.</w:t>
      </w:r>
    </w:p>
    <w:p>
      <w:r>
        <w:t>47. National decision-making practice has also considered, in the specific case of secondary works, a regional dimension19 due in particular to the significant number of local actors. However, national practice notes that for certain large-scale projects, the dimension of the secondary works markets may exceed the region.</w:t>
      </w:r>
    </w:p>
    <w:p>
      <w:r>
        <w:t>48. There is no need to challenge this delineation during the examination of the present operation.</w:t>
      </w:r>
    </w:p>
    <w:p>
      <w:r>
        <w:rPr>
          <w:b/>
        </w:rPr>
        <w:t>[Pages 10–12]</w:t>
      </w:r>
    </w:p>
    <w:p>
      <w:r>
        <w:t xml:space="preserve">COMPETITIVE ANALYSIS  </w:t>
        <w:br/>
        <w:t xml:space="preserve">A. ANALYSIS OF HORIZONTAL EFFECTS  </w:t>
        <w:br/>
        <w:t xml:space="preserve">49. In the markets for emergency, repair, and home maintenance services in the building sector, the operation leads to overlaps considering the activities of Homeserve On Demand and Carglass Maison.  </w:t>
        <w:br/>
        <w:t xml:space="preserve">50. The parties estimate that their combined market share is below 25%, regardless of the segmentation or geographical delimitation considered. This activity also represents less than [...] % of Homeserve's revenue.  </w:t>
        <w:br/>
        <w:t xml:space="preserve">51. In light of these elements, the operation does not raise serious doubts regarding harm to competition in the markets for emergency, repair, and home maintenance services through horizontal effects.  </w:t>
        <w:br/>
        <w:t xml:space="preserve">B. ANALYSIS OF VERTICAL EFFECTS  </w:t>
        <w:br/>
        <w:t xml:space="preserve">52. A vertical concentration can restrict competition by making access to the markets in which the new entity will operate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considers that a risk of vertical effect can, in principle, be ruled out when the market share of the company resulting from the operation in the relevant markets does not exceed 30%.  </w:t>
        <w:br/>
        <w:t xml:space="preserve">53. In this case, there is a vertical link between Homeserve's activity in the assistance markets and that of Carglass Maison in the emergency, repair, and home maintenance market. Indeed, Homeserve is likely to call upon the services of Carglass Maison as part of the assistance contracts it markets.  </w:t>
        <w:br/>
        <w:t xml:space="preserve">54. However, as stated in the previous section, the notifying parties believe that the combined market share of the parties following the operation in the markets for emergency, repair, and home maintenance services will be below 25%, regardless of the segmentation considered and the geographical delimitation retained. Furthermore, in this market, the parties face strong local and regional competition from companies of comparable size, as well as from craftsmen.  </w:t>
        <w:br/>
        <w:t xml:space="preserve">55. In the home assistance market, Homeserve's market share is estimated by the parties to be [10-20]% in the home assistance market aimed at individuals (Homeserve is not active in the market aimed at professionals). Moreover, in this market, Homeserve faces numerous competitors offering home assistance services (AXA Assistance — [30-40]% — as well as the companies Mondial Assistance, Europ Assistance, IMA, and Fidelia, which together represent [40-50]% of the market).  </w:t>
        <w:br/>
        <w:t xml:space="preserve">56. In light of these elements, the operation does not raise serious doubts regarding harm to competition through vertical effects.  </w:t>
        <w:br/>
        <w:t xml:space="preserve">C. ANALYSIS OF CONGLOMERATE EFFECTS  </w:t>
        <w:br/>
        <w:t xml:space="preserve">57. A concentration has conglomerate effects when the new entity extends or strengthens its presence in several distinct but related markets. While conglomerate concentrations can generally create pro-competitive synergies, some may nonetheless produce restrictive competition effects when they allow for the technical or commercial tying of the sales or purchases of the components of the grouping in a way that locks the market and excludes competitors.  </w:t>
        <w:br/>
        <w:t xml:space="preserve">58. However, it is unlikely that a concentration will pose a risk of conglomerate effect if the new entity does not hold a strong position in a market from which it can leverage an effect. The guidelines of the Competition Authority regarding the control of concentrations refer, in this regard, to a threshold of 30% market share for assessing this market position.  </w:t>
        <w:br/>
        <w:t xml:space="preserve">59. In this case, there is a link between Homeserve's activities in the climate engineering market and those of the target in the secondary works market, resulting notably from the identity of the clients likely to purchase these different types of services. The notifying parties have indicated that they do not rule out the possibility of offering bundled offers linking secondary works and climate engineering services following the operation, just like their competitors.  </w:t>
        <w:br/>
        <w:t xml:space="preserve">60. However, the market shares of the parties will remain below 30% in these different markets following the operation according to the estimates of the notifying parties. Indeed, Homeserve's market share in the climate engineering market is below 30%, regardless of the segmentations or geographical delimitations considered. As for Carglass Maison, its market share does not exceed 1% in the secondary works markets in the building sector, both nationally and regionally.  </w:t>
        <w:br/>
        <w:t xml:space="preserve">61. Furthermore, the parties do not offer products or services that would be considered essential in these markets and face numerous competitors already capable of offering all these types of combined services.  </w:t>
        <w:br/>
        <w:t xml:space="preserve">62. These elements allow us to conclude that the operation does not pose a risk of harm to competition through conglomerate effects in the climate engineering and secondary works markets in the building sector.  </w:t>
        <w:br/>
        <w:t xml:space="preserve">DECIDES  </w:t>
        <w:br/>
        <w:t xml:space="preserve">Single Article: The operation notified under number 20-264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