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https://www.autoritedelaconcurrence.fr/fr/decision-de-controle-des-concentrations/relative-la-prise-de-controle-conjoint-du-groupe-cegos-par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22-DCC-52 of April 6, 2022  </w:t>
        <w:br/>
        <w:t xml:space="preserve">regarding the joint control acquisition of the Cegos group by the companies  </w:t>
        <w:br/>
        <w:t xml:space="preserve">NCP3B and Bridgepoint  </w:t>
        <w:br/>
        <w:t>The Competition Authority,</w:t>
      </w:r>
    </w:p>
    <w:p>
      <w:r>
        <w:t xml:space="preserve">Having regard to the complete notification file sent to the mergers department on March 21, 2022,  </w:t>
        <w:br/>
        <w:t xml:space="preserve">concerning the joint control acquisition of the Cegos group by the companies NCP3B and Bridgepoint,  </w:t>
        <w:br/>
        <w:t>formalized by an investment promise dated February 2,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of Cegos SA, the parent company of the Cegos group, active in the professional training sector, by the company  </w:t>
        <w:br/>
        <w:t xml:space="preserve">NCP3B and the company Bridgepoint through the investment fund BDC IV FCPI.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22-047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