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https://www.autoritedelaconcurrence.fr/fr/decision-de-controle-des-concentrations/relative-la-prise-de-controle-conjoint-du-groupe-cogep-par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23-DCC-75 of May 2, 2023  </w:t>
        <w:br/>
        <w:t xml:space="preserve">regarding the joint control acquisition of the Cogep group by  </w:t>
        <w:br/>
        <w:t xml:space="preserve">Waterland and Diriger-Réviser-Organiser-Prévoir  </w:t>
        <w:br/>
        <w:t xml:space="preserve">The Competition Authority,  </w:t>
        <w:br/>
        <w:t xml:space="preserve">Having regard to the complete notification file submitted to the mergers department on April 14, 2023,  </w:t>
        <w:br/>
        <w:t xml:space="preserve">concerning the joint control acquisition of the Cogep group by the investment fund Waterland  </w:t>
        <w:br/>
        <w:t xml:space="preserve">and the company Diriger-Réviser-Organiser-Prévoir, formalized by a transfer agreement dated  </w:t>
        <w:br/>
        <w:t xml:space="preserve">April 6,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Cogep group by WPEF VIII  </w:t>
        <w:br/>
        <w:t xml:space="preserve">Holdco 30 B.V, a company belonging to the Waterland group, and the company Diriger-Réviser-  </w:t>
        <w:br/>
        <w:t xml:space="preserve">Organiser-Prévoir. It constitutes a concentration within the meaning of Article L. 430-1 of the Commercial Code.  </w:t>
        <w:br/>
        <w:t xml:space="preserve">Given the turnover achieved by the concerned companies, the operation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23-047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