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https://www.autoritedelaconcurrence.fr/fr/decision-de-controle-des-concentrations/relative-la-prise-de-controle-conjoint-du-groupe-coutot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23-DCC-104 of June 5, 2023  </w:t>
        <w:br/>
        <w:t xml:space="preserve">regarding the joint control of the Coutot-Roehrig group by  </w:t>
        <w:br/>
        <w:t xml:space="preserve">the companies Financière de Beaumont and Luxempart  </w:t>
        <w:br/>
        <w:t xml:space="preserve">The Competition Authority,  </w:t>
        <w:br/>
        <w:t xml:space="preserve">Having regard to the complete notification file sent to the mergers department on May 16, 2023,  </w:t>
        <w:br/>
        <w:t xml:space="preserve">concerning the joint control of the company Coutot-Roehrig by the companies Financière de  </w:t>
        <w:br/>
        <w:t xml:space="preserve">Beaumont and Luxempart, formalized by a letter of commitment dated April 7,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SAS Coutot-Roehrig, active  </w:t>
        <w:br/>
        <w:t xml:space="preserve">in the field of probate genealogy, by SARL Financière de Beaumont and SA  </w:t>
        <w:br/>
        <w:t xml:space="preserve">Luxempart. 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23-112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