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https://www.autoritedelaconcurrence.fr/fr/decision-de-controle-des-concentrations/relative-la-prise-de-controle-conjoint-du-groupe-cyrus-par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25-DCC-299 of November 26, 2025</w:t>
        <w:br/>
        <w:t>regarding the joint control acquisition of the Cyrus group</w:t>
        <w:br/>
        <w:t>by PAI Partners alongside Messrs. Azogui and Ganansia</w:t>
        <w:br/>
        <w:t>The Competition Authority,</w:t>
        <w:br/>
        <w:t>Having regard to the complete notification file sent to the mergers department on November 7, 2025,</w:t>
        <w:br/>
        <w:t>concerning the joint control acquisition of the Cyrus group by PAI Partners alongside Mr. Meyer</w:t>
        <w:br/>
        <w:t>Azogui and Mr. Patrick Ganansia, formalized by an acquisition promise dated October 17,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indirect acquisition, through the investment vehicle</w:t>
        <w:br/>
        <w:t>Bronto Holding, by the PAI Partners VIII-I SCSp and PAI Partners VIII-2 SCSp funds, managed by</w:t>
        <w:br/>
        <w:t>the company Pai Partners, alongside Mr. Meyer Azogui and Mr. Patrick Ganansia, of the joint control</w:t>
        <w:br/>
        <w:t>of the company Cyrus Groupe, the parent company of the Cyrus group. The Cyrus group is</w:t>
        <w:br/>
        <w:t>primarily active in the wealth management consulting and asset management sector.</w:t>
        <w:br/>
        <w:t>The operation constitutes a concentration within the meaning of Article L. 430-1 of the Commercial Code.</w:t>
        <w:br/>
        <w:t>Given the turnover achieved by the companies concerned, the operation does not fall</w:t>
        <w:br/>
        <w:t>under the jurisdiction of the European Union. On the other hand, the control thresholds mentioned</w:t>
        <w:br/>
        <w:t>in I of Article L. 430-2 of the Commercial Code are exceeded. The present operation is therefore</w:t>
        <w:br/>
        <w:t>subject 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25-324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