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https://www.autoritedelaconcurrence.fr/fr/decision-de-controle-des-concentrations/relative-la-prise-de-controle-conjoint-du-groupe-dominique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13-DCC-186 of December 16, 2013  </w:t>
        <w:br/>
        <w:t xml:space="preserve">regarding the joint control acquisition of the Dominique Dutscher group  </w:t>
        <w:br/>
        <w:t xml:space="preserve">by the company Five Arrows Managers alongside the Dutscher partners  </w:t>
        <w:br/>
        <w:t xml:space="preserve">The Competition Authority,  </w:t>
        <w:br/>
        <w:t xml:space="preserve">Having regard to the complete notification file sent to the mergers department on November 26,  </w:t>
        <w:br/>
        <w:t xml:space="preserve">2013, concerning the joint control acquisition of the Dominique Dutscher group by Five Arrows  </w:t>
        <w:br/>
        <w:t xml:space="preserve">Managers alongside the Dutscher partners, materialized by a share transfer agreement and  </w:t>
        <w:br/>
        <w:t xml:space="preserve">a shareholders' agreement dated November 25,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Dominique Dutscher group,  </w:t>
        <w:br/>
        <w:t xml:space="preserve">active in the sector of distribution of equipment and consumables for laboratories,  </w:t>
        <w:br/>
        <w:t xml:space="preserve">by the portfolio management company Five Arrows Managers alongside the Dutscher partners. It constitutes a concentration operation within the meaning of Article L. 430-1 of the Commercial Code. Given the turnover achieved by the concerned companies, 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13-208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