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https://www.autoritedelaconcurrence.fr/fr/decision-de-controle-des-concentrations/relative-la-prise-de-controle-conjoint-du-groupe-edeis-par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23-DCC-62 of April 5, 2023  </w:t>
        <w:br/>
        <w:t xml:space="preserve">regarding the joint control acquisition of the Edeis group by the companies  </w:t>
        <w:br/>
        <w:t xml:space="preserve">Trévise Participations and Impact Holding  </w:t>
        <w:br/>
        <w:t xml:space="preserve">The Competition Authority,  </w:t>
        <w:br/>
        <w:t xml:space="preserve">Having regard to the complete notification file sent to the mergers department on March 21, 2023,  </w:t>
        <w:br/>
        <w:t xml:space="preserve">concerning the joint control acquisition of the Edeis group by the companies Trévise Participations and  </w:t>
        <w:br/>
        <w:t xml:space="preserve">Impact Holding, formalized by a share transfer agreement dated January 27,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of the company CIPIM, the parent company  </w:t>
        <w:br/>
        <w:t xml:space="preserve">of the Edeis group, active in the sectors of public infrastructure management on behalf of local authorities or the State and engineering, by the companies Trévise  </w:t>
        <w:br/>
        <w:t xml:space="preserve">Participations and Impact Holding, which held, prior to the operation, a majority stake in the capital of the Edeis group.  </w:t>
        <w:br/>
        <w:t xml:space="preserve">2. The operation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3.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23-040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