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https://www.autoritedelaconcurrence.fr/fr/decision-de-controle-des-concentrations/relative-la-prise-de-controle-conjoint-du-groupe-efeso-par</w:t>
      </w:r>
    </w:p>
    <w:p>
      <w:r>
        <w:t>Pages translated : 2</w:t>
      </w:r>
    </w:p>
    <w:p/>
    <w:p>
      <w:r>
        <w:rPr>
          <w:b/>
        </w:rPr>
        <w:t>[Pages 1–2]</w:t>
      </w:r>
    </w:p>
    <w:p>
      <w:r>
        <w:t xml:space="preserve">FRENCH REPUBLIC  </w:t>
        <w:br/>
        <w:t xml:space="preserve">Decision No. 23-DCC-260 of December 26, 2023  </w:t>
        <w:br/>
        <w:t>regarding the joint control acquisition of the Efeso group by TowerBrook Capital Partners and the Eurazeo group</w:t>
      </w:r>
    </w:p>
    <w:p>
      <w:r>
        <w:t>The Competition Authority,</w:t>
      </w:r>
    </w:p>
    <w:p>
      <w:r>
        <w:t>Having regard to the complete notification file submitted to the mergers department on December 5, 2023, concerning the joint control acquisition of the Efeso group by TowerBrook Capital Partners (hereinafter "TowerBrook") and Eurazeo Mid Cap, belonging to the Eurazeo group (hereinafter "Eurazeo"), formalized by an acquisition contract and an investment agreement dated November 23, 2023;</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joint control acquisition by TowerBrook and Eurazeo of the Efeso group, active in the management consulting and IT services sectors. The operation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23-319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