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https://www.autoritedelaconcurrence.fr/fr/decision-de-controle-des-concentrations/relative-la-prise-de-controle-conjoint-du-groupe-emeraude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25-DCC-26 of February 5, 2025  </w:t>
        <w:br/>
        <w:t xml:space="preserve">regarding the joint control acquisition of the Emeraude Solaire group  </w:t>
        <w:br/>
        <w:t>by the companies Five Arrows Managers and LVMAX</w:t>
      </w:r>
    </w:p>
    <w:p>
      <w:r>
        <w:t>The Competition Authority,</w:t>
      </w:r>
    </w:p>
    <w:p>
      <w:r>
        <w:t xml:space="preserve">Having regard to the complete notification file submitted to the mergers department on January 20, 2025,  </w:t>
        <w:br/>
        <w:t xml:space="preserve">concerning the joint control acquisition of the Emeraude Solaire group by the company Five Arrows  </w:t>
        <w:br/>
        <w:t xml:space="preserve">Managers, ultimately controlled by Rothschild &amp; Co, and the company LVMAX,  </w:t>
        <w:br/>
        <w:t xml:space="preserve">controlled by Mr. Xavier Borel, formalized by a firm offer letter signed on  </w:t>
        <w:br/>
        <w:t>December 24, 2024;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joint control acquisition by the company Five Arrows  </w:t>
        <w:br/>
        <w:t xml:space="preserve">Sustainable Investments, managed by the company Five Arrows Managers, controlled by Rothschild &amp; Co,  </w:t>
        <w:br/>
        <w:t xml:space="preserve">and the company LVMAX, controlled by Mr. Xavier Borel, of the Emeraude Solaire group,  </w:t>
        <w:br/>
        <w:t xml:space="preserve">comprising the companies Emeraude Solaire, Emeraude Développement, and Inelia, which is  </w:t>
        <w:br/>
        <w:t xml:space="preserve">active in the sector of photovoltaic solar power plants. The operation constitutes a  </w:t>
        <w:br/>
        <w:t xml:space="preserve">concentration within the meaning of Article L. 430-1 of the Commercial Code. Given the revenues  </w:t>
        <w:br/>
        <w:t xml:space="preserve">generated by the companies concerned, the operation does not fall under the jurisdiction of  </w:t>
        <w:br/>
        <w:t xml:space="preserve">the European Union. However, the control thresholds mentioned in 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25-014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