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https://www.autoritedelaconcurrence.fr/fr/decision-de-controle-des-concentrations/relative-la-prise-de-controle-conjoint-du-groupe-european</w:t>
      </w:r>
    </w:p>
    <w:p>
      <w:r>
        <w:t>Pages translated : 2</w:t>
      </w:r>
    </w:p>
    <w:p/>
    <w:p>
      <w:r>
        <w:rPr>
          <w:b/>
        </w:rPr>
        <w:t>[Pages 1–2]</w:t>
      </w:r>
    </w:p>
    <w:p>
      <w:r>
        <w:t>FRENCH REPUBLIC</w:t>
        <w:br/>
        <w:t>Decision No. 23-DCC-258 of December 29, 2023</w:t>
        <w:br/>
        <w:t>regarding the joint control acquisition of the European Digital Group by Montefiore Investment and Latour Capital Management</w:t>
        <w:br/>
        <w:t>The Competition Authority,</w:t>
        <w:br/>
        <w:t>Having regard to the complete notification file submitted to the mergers department on December 14, 2023, concerning the joint control acquisition of European Digital Group by the companies Montefiore Investment and Latour Capital Management formalized by a purchase agreement signed on October 30, 2023;</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joint control acquisition, by the companies Montefiore Investment and Latour Capital Management, of European Digital Group, specialized in the sector of providing solutions and services aimed at supporting the transformation and digital acceleration of businesses.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23-299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