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https://www.autoritedelaconcurrence.fr/fr/decision-de-controle-des-concentrations/relative-la-prise-de-controle-conjoint-du-groupe-evok-par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24-DCC-76 of April 22, 2024  </w:t>
        <w:br/>
        <w:t xml:space="preserve">regarding the joint control acquisition of the Evok group by the Famille C group and the Zaka group  </w:t>
        <w:br/>
        <w:t xml:space="preserve">The Competition Authority,  </w:t>
        <w:br/>
        <w:t xml:space="preserve">Having regard to the complete notification file submitted to the mergers department on April 5, 2024, concerning the joint control acquisition of the company Evok Collection L and its subsidiaries by the Famille C group, through its subsidiary Experience Invest, and the company Zaka Investments L, formalized by an investment protocol dated February 6, 2024;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joint control acquisition by the Famille C group and the Zaka group of the Evok group, which is active in the luxury hotel management sector. It constitutes a concentration operation within the meaning of Article L. 430-1 of the Commercial Code. Given the revenues generated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24-062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