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https://www.autoritedelaconcurrence.fr/fr/decision-de-controle-des-concentrations/relative-la-prise-de-controle-conjoint-du-groupe-flash</w:t>
      </w:r>
    </w:p>
    <w:p>
      <w:r>
        <w:t>Pages translated : 2</w:t>
      </w:r>
    </w:p>
    <w:p/>
    <w:p>
      <w:r>
        <w:rPr>
          <w:b/>
        </w:rPr>
        <w:t>[Pages 1–2]</w:t>
      </w:r>
    </w:p>
    <w:p>
      <w:r>
        <w:t xml:space="preserve">FRENCH REPUBLIC  </w:t>
        <w:br/>
        <w:t xml:space="preserve">Decision No. 15-DCC-121 of September 14, 2015  </w:t>
        <w:br/>
        <w:t xml:space="preserve">regarding the joint control acquisition of Groupe Flash Europe by  </w:t>
        <w:br/>
        <w:t xml:space="preserve">Eurazeo PME and Mr. Philippe Higelin  </w:t>
        <w:br/>
        <w:t xml:space="preserve">The Competition Authority,  </w:t>
        <w:br/>
        <w:t xml:space="preserve">Having regard to the complete notification file submitted to the mergers department on August 11, 2015,  </w:t>
        <w:br/>
        <w:t xml:space="preserve">concerning the joint control acquisition of Groupe Flash Europe by Eurazeo PME and Mr. Philippe Higelin, formalized by a securities transfer agreement dated July 29, 2015;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of Groupe Flash Europe, active in the goods transport sector, by Eurazeo PME and Mr. Philippe Higelin. It constitutes a concentration operation within the meaning of Article L. 430-1 of the Commercial Code. Given the turnover achieved by the companies involved, the operation does not fall under the jurisdiction of the European Union. On the other hand, the control thresholds mentioned in point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15-139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