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https://www.autoritedelaconcurrence.fr/fr/decision-de-controle-des-concentrations/relative-la-prise-de-controle-conjoint-du-groupe-generix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22-DCC-89 of June 2, 2022  </w:t>
        <w:br/>
        <w:t xml:space="preserve">regarding the joint control acquisition of the Generix group by  </w:t>
        <w:br/>
        <w:t xml:space="preserve">Montefiore Investment and Pléiade Investissement  </w:t>
        <w:br/>
        <w:t xml:space="preserve">The Competition Authority,  </w:t>
        <w:br/>
        <w:t xml:space="preserve">Having regard to the complete notification file submitted to the mergers department on May 16, 2022,  </w:t>
        <w:br/>
        <w:t xml:space="preserve">concerning the joint control acquisition of Generix Group, the parent company of the Generix group, by Montefiore Investment and Pléiade Investissement, formalized by the signing of a memorandum of understanding dated December 24, 2022, and an exclusive negotiations agreement dated April 23, 2022;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joint control acquisition of the Generix group, active in the IT services sector, by Montefiore Investment and Pléiade Investissement.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22-101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