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https://www.autoritedelaconcurrence.fr/fr/decision-de-controle-des-concentrations/relative-la-prise-de-controle-conjoint-du-groupe-grandir</w:t>
      </w:r>
    </w:p>
    <w:p>
      <w:r>
        <w:t>Pages translated : 2</w:t>
      </w:r>
    </w:p>
    <w:p/>
    <w:p>
      <w:r>
        <w:rPr>
          <w:b/>
        </w:rPr>
        <w:t>[Pages 1–2]</w:t>
      </w:r>
    </w:p>
    <w:p>
      <w:r>
        <w:t xml:space="preserve">FRENCH REPUBLIC  </w:t>
        <w:br/>
        <w:t xml:space="preserve">Decision No. 21-DCC-137 of August 3, 2021  </w:t>
        <w:br/>
        <w:t>regarding the joint control acquisition of the Grandir group by the company InfraVia Capital Partners alongside the company Athina Conseil</w:t>
      </w:r>
    </w:p>
    <w:p>
      <w:r>
        <w:t>The Competition Authority,</w:t>
      </w:r>
    </w:p>
    <w:p>
      <w:r>
        <w:t>Having regard to the complete notification file submitted to the mergers department on July 16, 2021, concerning the joint control acquisition of the Grandir group by the company InfraVia Capital Partners alongside the company Athina Conseil, formalized by a purchase promise dated June 25, 2021;</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of the Grandir group by the company InfraVia Capital Partners alongside the company Athina Conseil. The Grandir group is active in the childcare sector.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21-147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