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https://www.autoritedelaconcurrence.fr/fr/decision-de-controle-des-concentrations/relative-la-prise-de-controle-conjoint-du-groupe-guinier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24-DCC-264 of December 5, 2024</w:t>
        <w:br/>
        <w:t>regarding the joint control acquisition of the Guinier group by</w:t>
        <w:br/>
        <w:t>Waterland and Groupe 1823</w:t>
        <w:br/>
        <w:t>The Competition Authority,</w:t>
        <w:br/>
        <w:t>Having regard to the complete notification file submitted to the mergers department on</w:t>
        <w:br/>
        <w:t>November 20, 2024, concerning the joint control acquisition of the Guinier group by the investment fund Waterland and the company Groupe 1823, formalized by a transfer contract dated November 15, 2024;</w:t>
        <w:br/>
        <w:t>Having regard to Book IV of the Commercial Code relating to the freedom of prices and competition, and in particular its Articles L. 430-1 to L. 430-7;</w:t>
        <w:br/>
        <w:t>Adopts the following decision:</w:t>
        <w:br/>
        <w:t>1. The notified operation consists of the joint control acquisition by WPEF IX Holdco 14 B.V., a company belonging to the Waterland group, and the company Groupe 1823 of the Guinier group, active in the sectors of climate and electrical engineering, construction, multi-technical management and maintenance, fire safety, and private security in France. The operation constitutes a concentration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24-293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