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https://www.autoritedelaconcurrence.fr/fr/decision-de-controle-des-concentrations/relative-la-prise-de-controle-conjoint-du-groupe-haircoif</w:t>
      </w:r>
    </w:p>
    <w:p>
      <w:r>
        <w:t>Pages translated : 7</w:t>
      </w:r>
    </w:p>
    <w:p/>
    <w:p>
      <w:r>
        <w:rPr>
          <w:b/>
        </w:rPr>
        <w:t>[Pages 1–3]</w:t>
      </w:r>
    </w:p>
    <w:p>
      <w:r>
        <w:t>FRENCH REPUBLIC</w:t>
        <w:br/>
        <w:t>Decision No. 15-DCC-61 of May 28, 2015</w:t>
        <w:br/>
        <w:t>regarding the joint control of the Haircoif group by</w:t>
        <w:br/>
        <w:t>Mr. Franck Provost and Chequers &amp; Company</w:t>
        <w:br/>
        <w:t>The Competition Authority,</w:t>
        <w:br/>
        <w:t>Having regard to the notification file sent to the merger service on March 16, 2015, and declared complete on April 29, 2015, regarding the joint control of the Haircoif group by Mr. Franck Provost and Chequers &amp; Company SAS, formalized by a share transfer agreement dated March 4, 2015;</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Mr. Franck Provost and Chequers Partenaires SA (hereinafter, "Chequers Partenaires") jointly control the company Leonard Investissement SAS (hereinafter, "Leonard Investissement"), which holds 100% of the company TRCJ Acquisitions SAS (hereinafter, "TRCJ Acquisitions"), which controls the company Provalliance SAS (hereinafter, "the Provalliance group"). The Provalliance group, primarily active in the hairdressing sector in France, relies on a network comprising branches (343 salons) as well as franchisees and master franchisees (1,425 salons). The salons of the Provalliance group, which offer hairdressing services and marginally sell hair products, operate under nine brands: Franck Provost, Jean-Louis David, Niwel, Saint-Algue, Fabio Salsa, Intermède, Coiff&amp;Co, Interview, and Jean-Marc Maniatis. The Provalliance group also operates, marginally, in the aesthetic care services sector through five boutiques under the Colorii Nails brand. Furthermore, under a shareholders' agreement concluded on July 28, 2011, the Provalliance Group holds joint control of the company CSP, a company specialized in the distribution of hair products, alongside the Wincker consortium.</w:t>
        <w:br/>
        <w:t>2. Chequers Partenaires is a portfolio management company that controls several companies active in various sectors, including hospitality (Financière Royal Resort), inert waste treatment (Financière ECT), and the manufacturing of professional tools (Powel Tool Invest). Chequers Partenaires is controlled by the company Chequers SA (hereinafter, "Chequers"), which also controls a consulting services company (Chequers Beratungs GmbH) as well as financial holdings. Chequers is 100% owned by the company Chequers &amp; Company SAS (hereinafter, "Chequers &amp; Company"), a holding company that does not control any other company.</w:t>
        <w:br/>
        <w:t>3. The Haircoif group is controlled by the company Cerifat SAS (hereinafter, "Cerifat"), which is 100% owned by Ms. Murielle and Dorothée Roméro. The Haircoif group is active in the hairdressing sector and operates 82 salons in France and 13 salons in Poland. Of the 82 French salons, two are under brand concession from the Haircoif group. The salons of the Haircoif group offer hairdressing services and sell hair products.</w:t>
        <w:br/>
        <w:t>4. The operation, formalized by a share transfer agreement dated March 4, 2015, consists of the acquisition by the company TRCJ Acquisitions of 100% of the share capital and voting rights of Cerifat and all of its subsidiaries as well as the Haircoif brand.</w:t>
        <w:br/>
        <w:t>5. Insofar as it results in the joint control of the Haircoif group by Mr. Franck Provost and Chequers &amp; Company, the operation constitutes a concentration within the meaning of Article L. 430-1 of the Commercial Code.</w:t>
        <w:br/>
        <w:t>6. The concerned companies operate retail stores and together achieve a total worldwide turnover excluding tax of more than 75 million euros (Chequers &amp; Company: 1.5 billion euros for the fiscal year ending December 31, 2014; Mr. Franck Provost: 119 million euros for the fiscal year ending December 31, 2013; Haircoif group: 27.3 million euros for the same fiscal year). At least two of these companies achieve a turnover in France exceeding 15 million euros in the retail sector (Chequers &amp; Company: 119 million euros for the fiscal year ending December 31, 2014; Mr. Franck Provost: 119 million euros for the fiscal year ending December 31, 2013; Haircoif group: 25 million euros for the same fiscal year).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concentrations.</w:t>
        <w:br/>
        <w:t>2 Mr. Franck Provost exercising joint control over the Provalliance group, only 50% of the turnover of the Provalliance group has been attributed to Mr. Franck Provost for the purpose of calculating turnover, in accordance with the provisions of paragraphs 186 and 187 of the consolidated communication of the European Commission.</w:t>
        <w:br/>
        <w:t>3 Chequers &amp; Company exercising indirect joint control over the Provalliance group, only 50% of the turnover of the Provalliance group has been attributed to Chequers &amp; Company for the purpose of calculating turnover, in accordance with the provisions of paragraphs 186 and 187 of the consolidated communication of the European Commission.</w:t>
      </w:r>
    </w:p>
    <w:p>
      <w:r>
        <w:t>II. Delimitation of Relevant Markets</w:t>
        <w:br/>
        <w:t>7. The Provalliance group and the Haircoif group are both active in the hairdressing sector.</w:t>
        <w:br/>
        <w:t>A. THE DOWNSTREAM MARKET OF SALON HAIRDRESSING</w:t>
        <w:br/>
        <w:t>1. THE PRODUCT MARKET</w:t>
        <w:br/>
        <w:t>8. Within the hairdressing sector, competition authorities have considered the existence of a relevant market for home hairdressing. The market test conducted as part of the examination of the present operation confirmed that it is appropriate to distinguish hairdressing services based on whether they are performed at home or in salons, particularly considering price differences.</w:t>
        <w:br/>
        <w:t>9. It also emerges from the responses obtained that the downstream market of salon hairdressing includes the hairdressing services themselves but also a number of ancillary services such as aesthetic care and the sale of hair products.</w:t>
        <w:br/>
        <w:t>10. Finally, according to the results of the market test, it does not appear relevant to segment the salon hairdressing market based on whether it involves branded salons or independent salons, or based on the type of clientele (men's salons, women's salons, mixed salons) or range. Regarding the range, while the majority of respondents consider that a distinction between different ranges of salons is relevant, it appears nonetheless that high-end salons compete with mid-range salons and that mid-range salons compete with entry-level salons. Moreover, the market test indicates that the vast majority of salons fall within the mid-range category, showing little price or commercial differentiation.</w:t>
        <w:br/>
        <w:t>11. The question of the exact delimitation of hairdressing markets can, however, be left open, as the conclusions of the competitive analysis remain unchanged regardless of the hypothesis retained.</w:t>
        <w:br/>
        <w:t>2. GEOGRAPHICAL MARKET</w:t>
        <w:br/>
        <w:t>12. In the retail sector in physical points of sale, competition is exercised from the consumer's perspective primarily at the local level in markets whose size varies depending on the type of products concerned and the attractiveness of the stores. The distance that customers are willing to travel is thus a central element in determining catchment areas.</w:t>
      </w:r>
    </w:p>
    <w:p>
      <w:r>
        <w:rPr>
          <w:b/>
        </w:rPr>
        <w:t>[Pages 4–6]</w:t>
      </w:r>
    </w:p>
    <w:p>
      <w:r>
        <w:t>13. Hairdressing in salons falling under retail commerce, the notifying parties have proposed to define catchment areas based on a 20-minute driving time around the hairdressing salon. To this end, they recall that national decision-making practice adopts such a geographical delimitation for the market of aesthetic care services. The parties have also provided information regarding the actual location of clients of certain Haircoif group salons, allowing for the definition of areas where 80% of each store's turnover is concentrated.</w:t>
      </w:r>
    </w:p>
    <w:p>
      <w:r>
        <w:t>14. Indeed, the guidelines of the Competition Authority relating to merger control specify that "travel time can also be assessed based on the actual behavior of consumers in a given area through information collected by retail outlets on the location of their clients. (...) The application of this "actual footprint" method allows for an accurate picture of the clients on whom the store exerts an attraction" (§366). The decision-making practice of the Authority generally holds that the catchment area of a store can be limited to that which encompasses clients representing 80% of the store's turnover or 80% of the store's clients, depending on the available data. The remainder is considered as a sporadic and insignificant clientele, sometimes very distant from the point of sale.</w:t>
      </w:r>
    </w:p>
    <w:p>
      <w:r>
        <w:t>15. Thus, it emerges from the information regarding the location of clients of the Haircoif group salons that, on average, 80% of the salon clients are located approximately 25 minutes away, which confirms the delimitation proposed by the parties.</w:t>
      </w:r>
    </w:p>
    <w:p>
      <w:r>
        <w:t>16. Nevertheless, some respondents to the market test considered that a catchment area corresponding to a 20-minute driving distance around the target hairdressing salon was too broad. To address this observation, the parties also provided a competitive analysis of the effects of the operation on catchment areas corresponding to a 15-minute driving distance around each target hairdressing salon.</w:t>
      </w:r>
    </w:p>
    <w:p>
      <w:r>
        <w:t>17. In any case, the question of the geographical delimitation of the downstream market of hairdressing salons does not need to be resolved, as the conclusions of the competitive analysis remain unchanged regardless of the definition adopted.</w:t>
      </w:r>
    </w:p>
    <w:p>
      <w:r>
        <w:t>B. THE UPSTREAM MARKET FOR HAIR PRODUCT SUPPLY</w:t>
        <w:br/>
        <w:t>1. PRODUCT MARKET</w:t>
        <w:br/>
        <w:t>18. European decision-making practice has segmented the market for the sale of hair products to hairdressing salons into four product categories: (i) shampoos, (ii) care and treatment products, (iii) styling products, and (iv) coloring products.</w:t>
      </w:r>
    </w:p>
    <w:p>
      <w:r>
        <w:t>2. GEOGRAPHICAL MARKET</w:t>
        <w:br/>
        <w:t>19. European decision-making practice has retained a national dimension for the market for the sale of hair products to hairdressing salons.</w:t>
      </w:r>
    </w:p>
    <w:p>
      <w:r>
        <w:t>20. Consequently, the upstream market for the supply of hair products can be considered to be of national dimension.</w:t>
      </w:r>
    </w:p>
    <w:p>
      <w:r>
        <w:t>III. Competitive Analysis</w:t>
        <w:br/>
        <w:t>A. THE DOWNSTREAM MARKET OF HAIRDRESSING SALONS</w:t>
        <w:br/>
        <w:t>1. ON THE CONSIDERATION OF FRANCHISE/CONCESSION RETAIL OUTLETS FOR THE ASSESSMENT OF THE PARTIES' MARKET POWER</w:t>
        <w:br/>
        <w:t>21. The networks of the Provalliance and Haircoif groups rely in part on franchised salons and brand concession salons, it is necessary to determine whether the stores operated under franchise by the parties have sufficient commercial autonomy from the network head to exert competitive pressure on integrated stores or whether, on the contrary, they should be taken into account for the analysis of the parties' market power. In this case, the analysis of the contractual clauses concluded that the franchisees of the Provalliance group do not have sufficient commercial autonomy, unlike the concessionaires of the Haircoif group.</w:t>
      </w:r>
    </w:p>
    <w:p>
      <w:r>
        <w:t>22. The franchise contracts of the Provalliance group, which are of relatively long duration (seven years), provide for an obligation of exclusive or quasi-exclusive supply from the group, as well as preemption, substitution, and preference clauses in the event of the sale of the salon to the benefit of the group. Furthermore, the vast majority of contracts contain an obligation to participate in a certain number of promotional operations per year. In contrast, the brand concession contracts of the Haircoif group, which are of a duration of three years, do not include any obligation to supply from the group, nor the obligation to participate in promotional operations. These contracts also do not contain preemption, substitution, and preference clauses in the event of the sale of the salon to the benefit of the group. Therefore, the Haircoif salons under brand concession have not been allocated to the market shares of the target.</w:t>
      </w:r>
    </w:p>
    <w:p>
      <w:r>
        <w:t>23. As a result, the activities of the Haircoif group and the Provalliance group overlap in 40 catchment areas. The parties provided a competitive analysis of the effects of the operation in these catchment areas, taking into account a driving time of 15 and 20 minutes around each target hairdressing salon. In both cases, the market shares of the parties were estimated in value and in number of salons. It should be noted that the market shares of the parties in value were estimated based on a turnover of 100,000 euros for competing salons. Such a level of turnover corresponds to the activity of a modest-sized salon (of the "corner" type) and therefore constitutes a conservative assumption for the evaluation of market shares.</w:t>
      </w:r>
    </w:p>
    <w:p>
      <w:r>
        <w:t>2. LOCAL COMPETITIVE ANALYSIS</w:t>
        <w:br/>
        <w:t>24. The combined market share of the parties in terms of the number of salons will not exceed 25% in the relevant catchment areas.</w:t>
      </w:r>
    </w:p>
    <w:p>
      <w:r>
        <w:t>25. In contrast, the combined market share of the parties in value will exceed 25% in six catchment areas corresponding to a driving distance of 20 minutes around the target hairdressing salon: Fontaine-les-Dijon (21), Quetigny (21), Guéret (23), Mareuil-les-Meaux (77), Melun (77), and Rambouillet (66). However, in each of these areas, the combined market share of the parties in value will not exceed 40%, and the new entity will face pressure from numerous competitors, both branded and independent. Furthermore, the increment in market share will be limited (less than 5%) in two catchment areas. In four catchment areas, the increment will be more significant, but the combined market share of the parties will remain, in all cases, below 37%.</w:t>
      </w:r>
    </w:p>
    <w:p>
      <w:r>
        <w:t>26. Similarly, the combined market share of the parties in value will exceed 25% in nine catchment areas corresponding to a driving distance of 15 minutes around the target hairdressing salon: Angoulême (16), Fontaine-les-Dijon (21), Quetigny (21), Guéret (23), Le Muy (83), Mareuil-les-Meaux (77), Melun (77), Rambouillet (66), and Saumur (49). In five areas, the increment in market share resulting from the operation will nevertheless be limited (less than 5%). In four catchment areas, the increment in market share resulting from the operation will be higher (between 8% and 15.7%), but the combined market share of the parties in value will remain, in all cases, below 41%. Finally, in each considered area, the new entity will continue to face pressure from numerous competitors, both branded and independent.</w:t>
      </w:r>
    </w:p>
    <w:p>
      <w:r>
        <w:t>27. Therefore, the operation is not likely to harm competition in the downstream markets of hairdressing salons.</w:t>
      </w:r>
    </w:p>
    <w:p>
      <w:r>
        <w:rPr>
          <w:b/>
        </w:rPr>
        <w:t>[Pages 7–7]</w:t>
      </w:r>
    </w:p>
    <w:p>
      <w:r>
        <w:t xml:space="preserve">B. THE UPSTREAM MARKET OF HAIR PRODUCT SALES  </w:t>
        <w:br/>
        <w:t xml:space="preserve">28. According to the information provided by the notifying parties, the combined market share of the new entity will remain below 10% in each of the hair product sales markets.  </w:t>
        <w:br/>
        <w:t xml:space="preserve">29. The operation is therefore not likely to harm competition in the upstream markets of hair product sales.  </w:t>
        <w:br/>
        <w:t xml:space="preserve">DECIDES  </w:t>
        <w:br/>
        <w:t xml:space="preserve">Sole Article: The operation notified under number 15-029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