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https://www.autoritedelaconcurrence.fr/fr/decision-de-controle-des-concentrations/relative-la-prise-de-controle-conjoint-du-groupe-histoire</w:t>
      </w:r>
    </w:p>
    <w:p>
      <w:r>
        <w:t>Pages translated : 4</w:t>
      </w:r>
    </w:p>
    <w:p/>
    <w:p>
      <w:r>
        <w:rPr>
          <w:b/>
        </w:rPr>
        <w:t>[Pages 1–3]</w:t>
      </w:r>
    </w:p>
    <w:p>
      <w:r>
        <w:t xml:space="preserve">FRENCH REPUBLIC  </w:t>
        <w:br/>
        <w:t xml:space="preserve">Decision No. 14-DCC-59 of April 24, 2014  </w:t>
        <w:br/>
        <w:t xml:space="preserve">regarding the joint control of the Histoire &amp; Patrimoine group by Altarea alongside Majhip  </w:t>
        <w:br/>
        <w:t xml:space="preserve">The Competition Authority,  </w:t>
        <w:br/>
        <w:t xml:space="preserve">Having regard to the notification file submitted in full to the concentrations service on April 3, 2014, regarding the joint control of the Histoire &amp; Patrimoine group by Altarea alongside Majhip, as evidenced by a share purchase and sale agreement and a shareholders' agreement between Altarea and Majhip dated March 10, 2014;  </w:t>
        <w:br/>
        <w:t xml:space="preserve">Having regard to Book IV of the Commercial Code relating to the freedom of prices and competition, and in particular its Articles L. 430-1 to L. 430-7;  </w:t>
        <w:br/>
        <w:t xml:space="preserve">Adopts the following decision:  </w:t>
        <w:br/>
        <w:t xml:space="preserve">I. Concerned companies and the operation  </w:t>
        <w:br/>
        <w:t xml:space="preserve">1. Altarea is a limited partnership listed on Euronext NYSE Paris, whose manager and main shareholder is Mr. Alain Taravella. Altarea heads the Altarea Cogedim group, active in the real estate services and online commerce markets. In terms of real estate services, Altarea operates more specifically in the fields of residential real estate development, office space development, ownership and management for its own account of shopping centers, and management of shopping centers on behalf of third parties.  </w:t>
        <w:br/>
        <w:t xml:space="preserve">2. The company Majhip, a holding controlled by H COM, operates through its sole subsidiary, Histoire &amp; Patrimoine, in the residential real estate development sector and in the transaction and management of real estate. H COM is also present in the market for leasing land and real estate through a real estate civil company.  </w:t>
        <w:br/>
        <w:t xml:space="preserve">3. By a share purchase and sale agreement dated March 10, 2014, the companies Majhip and Altarea agreed to the entry of the latter into the share capital of Histoire &amp; Patrimoine at 55.64%, the remainder being held by Majhip. Under the shareholders' agreement concluded on the same date between the parties, Majhip will retain a determining influence over Histoire &amp; Patrimoine, insofar as the determination and modification of the business plan, as well as the revocation of the President of the company Histoire &amp; Patrimoine, involve an extraordinary decision by the collective of partners ruling by a qualified majority of two-thirds of the voting rights held by the shareholders.  </w:t>
        <w:br/>
        <w:t xml:space="preserve">4. As it results in the joint control of the company Histoire &amp; Patrimoine by Majhip and Altarea, the notified operation constitutes a concentration within the meaning of Article L.430-1 of the Commercial Code.  </w:t>
        <w:br/>
        <w:t xml:space="preserve">5. The companies concerned together achieve a total worldwide turnover of more than 150 million euros (Altarea Cogedim: 1.52 billion euros for the fiscal year ending December 31, 2013; Majhip: 88.2 million euros for the fiscal year ending December 31, 2012). At least two of these companies achieve in France a turnover exceeding 50 million euros (Altarea Cogedim: 1.48 billion euros for the fiscal year ending December 31, 2013; Majhip: 88.2 million euros for the fiscal year ending December 31, 2012). Given the turnover figures of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A. THE MARKET FOR CONCERNED SERVICES  </w:t>
        <w:br/>
        <w:t xml:space="preserve">6. National and community competition authorities have considered, while leaving the question open, various segmentations in the real estate services sector (i) according to the recipients of the services, the properties being intended either for individuals, the concerned buildings being for residential use, or for businesses, the concerned buildings being for commercial or professional use, (ii) the pricing method, between free residential real estate and social or intermediate housing, the latter being part of a specific regulatory framework in which the State plays an important role, both in terms of financial aid and allocation of housing, (iii) the type of activity exercised in the premises, and (iv) the nature of the services or goods offered.  </w:t>
        <w:br/>
        <w:t xml:space="preserve">7. For this last axis of segmentation, the following services have been identified:  </w:t>
        <w:br/>
        <w:t xml:space="preserve">(i) real estate development which includes the activities of construction and sale of real estate;  </w:t>
        <w:br/>
        <w:t xml:space="preserve">(ii) asset management for its own account;  </w:t>
        <w:br/>
        <w:t xml:space="preserve">(iii) asset management for third parties;  </w:t>
        <w:br/>
        <w:t xml:space="preserve">(iv) the management of real estate which includes the activities of managing buildings on behalf of owners and can be segmented between rental management and co-ownership management;  </w:t>
        <w:br/>
        <w:t xml:space="preserve">(v) real estate appraisal;  </w:t>
        <w:br/>
        <w:t xml:space="preserve">(vi) real estate consulting;  </w:t>
        <w:br/>
        <w:t xml:space="preserve">(vii) brokerage in real estate transactions for which brokerage in purchase/sale operations is distinguished from brokerage in rental operations.  </w:t>
        <w:br/>
        <w:t xml:space="preserve">8. In the case at hand, the parties to the operation are simultaneously active only in the residential real estate development market.  </w:t>
        <w:br/>
        <w:t xml:space="preserve">B. THE GEOGRAPHIC MARKETS  </w:t>
        <w:br/>
        <w:t xml:space="preserve">9. The European Commission and the Minister of Economy have considered, while leaving the question open, that the real estate development market may be of a local or national dimension. The local dimension could be justified in particular by the differences existing between regions or between major urban areas in terms of prices and demand in real estate.  </w:t>
        <w:br/>
        <w:t xml:space="preserve">10. The parties to the operation are simultaneously active in the residential real estate development sector, more specifically in Paris (75), Seine-Saint-Denis (93), Ain (01), and Haute Savoie (74).  </w:t>
        <w:br/>
        <w:t xml:space="preserve">11.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 For other regions, competition authorities have conducted their competitive analyses at the regional or sub-regional level.  </w:t>
        <w:br/>
        <w:t>12. In the case at hand, the competitive analysis will therefore be conducted at the national level and, at the local level, in the areas where the parties are simultaneously active, namely the Île-de-France and Rhône-Alpes regions, the departments of Ain (01) and Haute Savoie (74), and the city of Gex.</w:t>
      </w:r>
    </w:p>
    <w:p>
      <w:r>
        <w:rPr>
          <w:b/>
        </w:rPr>
        <w:t>[Pages 4–4]</w:t>
      </w:r>
    </w:p>
    <w:p>
      <w:r>
        <w:t xml:space="preserve">III. Competitive Analysis  </w:t>
        <w:br/>
        <w:t xml:space="preserve">13. According to the estimates provided by the parties, in the national real estate development market, the companies Altarea and Majhip will cumulatively hold less than 5% of the market shares in volume and value. At the local level, their cumulative market shares will be respectively less than 10% in the regional and departmental markets and less than 20% for the city of Gex alone. Furthermore, the real estate development market, both at the national and local levels, is characterized by the presence of numerous players including Bouygues Immobilier, Kauffman &amp; Braud, Maisons France Confort, Eiffage Immobilier, and Vinci Immobilier.  </w:t>
        <w:br/>
        <w:t xml:space="preserve">14. The operation is therefore not likely to harm competition.  </w:t>
        <w:br/>
        <w:t xml:space="preserve">DECIDES  </w:t>
        <w:br/>
        <w:t xml:space="preserve">Sole Article: The operation notified under number 14-057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