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https://www.autoritedelaconcurrence.fr/fr/decision-de-controle-des-concentrations/relative-la-prise-de-controle-conjoint-du-groupe-implid-par</w:t>
      </w:r>
    </w:p>
    <w:p>
      <w:r>
        <w:t>Pages translated : 2</w:t>
      </w:r>
    </w:p>
    <w:p/>
    <w:p>
      <w:r>
        <w:rPr>
          <w:b/>
        </w:rPr>
        <w:t>[Pages 1–2]</w:t>
      </w:r>
    </w:p>
    <w:p>
      <w:r>
        <w:t xml:space="preserve">FRENCH REPUBLIC  </w:t>
        <w:br/>
        <w:t xml:space="preserve">Decision No. 25-DCC-157 of July 4, 2025  </w:t>
        <w:br/>
        <w:t xml:space="preserve">regarding the joint control acquisition of the Implid group by  </w:t>
        <w:br/>
        <w:t xml:space="preserve">the companies K/ID and EMZ Partners  </w:t>
        <w:br/>
        <w:t xml:space="preserve">The Competition Authority,  </w:t>
        <w:br/>
        <w:t xml:space="preserve">Having regard to the complete notification file submitted to the mergers department on June 10, 2025,  </w:t>
        <w:br/>
        <w:t xml:space="preserve">concerning the joint control acquisition of the company Implid SAS by the companies K/ID Holding  </w:t>
        <w:br/>
        <w:t xml:space="preserve">SAS and EMZ Partners, formalized by a unilateral investment promise dated May 23, 2025;  </w:t>
        <w:br/>
        <w:t xml:space="preserve">Having regard to Book IV of the Commercial Code relating to the freedom of prices and competition, and  </w:t>
        <w:br/>
        <w:t xml:space="preserve">notably its Articles L. 430-1 to L. 430-7;  </w:t>
        <w:br/>
        <w:t xml:space="preserve">Having regard to the other documents in the file;  </w:t>
        <w:br/>
        <w:t xml:space="preserve">Adopts the following decision:  </w:t>
        <w:br/>
        <w:t xml:space="preserve">1. The notified operation consists of the joint control acquisition of the company Implid and its  </w:t>
        <w:br/>
        <w:t xml:space="preserve">subsidiaries Implid Legal SAS and Implid Partners SAS by the companies K/ID Holding and EMZ  </w:t>
        <w:br/>
        <w:t xml:space="preserve">Partners. The relevant sectors are those of accounting expertise, auditing and statutory auditing, legal professions, and business consulting. Given the revenues generated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25-144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