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https://www.autoritedelaconcurrence.fr/fr/decision-de-controle-des-concentrations/relative-la-prise-de-controle-conjoint-du-groupe-interflora</w:t>
      </w:r>
    </w:p>
    <w:p>
      <w:r>
        <w:t>Pages translated : 2</w:t>
      </w:r>
    </w:p>
    <w:p/>
    <w:p>
      <w:r>
        <w:rPr>
          <w:b/>
        </w:rPr>
        <w:t>[Pages 1–2]</w:t>
      </w:r>
    </w:p>
    <w:p>
      <w:r>
        <w:t xml:space="preserve">REPUBLIC OF FRANCE  </w:t>
        <w:br/>
        <w:t xml:space="preserve">Decision No. 15-DCC-64 of June 3, 2015  </w:t>
        <w:br/>
        <w:t xml:space="preserve">regarding the joint control acquisition of the Interflora Group by LFPI  </w:t>
        <w:br/>
        <w:t xml:space="preserve">and Montefiore Investment  </w:t>
        <w:br/>
        <w:t>The Competition Authority,</w:t>
      </w:r>
    </w:p>
    <w:p>
      <w:r>
        <w:t>Having regard to the complete notification file sent to the mergers department on May 11, 2015, concerning the joint control acquisition of the Interflora Group by La Financière Patrimoniale d’Investissement (“LFPI”) and Montefiore Investment III, formalized by a transfer protocol dated April 22, 2015;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Interflora Group, whose activity is the retail sale of flowers and plants as well as the wholesale supply of accessories for floral products, by the companies LFPI and Montefiore Investment.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15-072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