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https://www.autoritedelaconcurrence.fr/fr/decision-de-controle-des-concentrations/relative-la-prise-de-controle-conjoint-du-groupe-jacky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19-DCC-257 of December 18, 2019  </w:t>
        <w:br/>
        <w:t xml:space="preserve">regarding the joint control of the Jacky Perrenot group by  </w:t>
        <w:br/>
        <w:t xml:space="preserve">the companies Sigefi and EMZ Partners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25, 2019, concerning the joint control of the company Zamenhof Exploitation  </w:t>
        <w:br/>
        <w:t xml:space="preserve">by the companies Sigefi and EMZ Partners, and materialized by a purchase promise dated  </w:t>
        <w:br/>
        <w:t xml:space="preserve">October 29,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by the companies Sigefi and  </w:t>
        <w:br/>
        <w:t xml:space="preserve">EMZ Partners of the Jacky Perrenot group, which is active in the markets of  </w:t>
        <w:br/>
        <w:t xml:space="preserve">freight transport, transport brokerage, and logistics services. It constitutes a  </w:t>
        <w:br/>
        <w:t xml:space="preserve">concentration operation within the meaning of Article L. 430-1 of the Commercial Code. Given the  </w:t>
        <w:br/>
        <w:t xml:space="preserve">turnover achieved by the companies concerned, the operation does not fall under the  </w:t>
        <w:br/>
        <w:t xml:space="preserve">jurisdiction of the European Union. On the other hand, the control thresholds mentioned in point I  </w:t>
        <w:br/>
        <w:t xml:space="preserve">of Article L. 430-2 of the Commercial Code are exceeded. The present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19-299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