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https://www.autoritedelaconcurrence.fr/fr/decision-de-controle-des-concentrations/relative-la-prise-de-controle-conjoint-du-groupe-la-poste</w:t>
      </w:r>
    </w:p>
    <w:p>
      <w:r>
        <w:t>Pages translated : 9</w:t>
      </w:r>
    </w:p>
    <w:p/>
    <w:p>
      <w:r>
        <w:rPr>
          <w:b/>
        </w:rPr>
        <w:t>[Pages 1–3]</w:t>
      </w:r>
    </w:p>
    <w:p>
      <w:r>
        <w:t xml:space="preserve">FRENCH REPUBLIC  </w:t>
        <w:br/>
        <w:t xml:space="preserve">Decision No. 11-DCC-32 of February 22, 2011  </w:t>
        <w:br/>
        <w:t xml:space="preserve">regarding the joint control of the La Poste group by the  </w:t>
        <w:br/>
        <w:t xml:space="preserve">Caisse des Dépôts et Consignations and the French State  </w:t>
        <w:br/>
        <w:t xml:space="preserve">The Competition Authority,  </w:t>
        <w:br/>
        <w:t xml:space="preserve">Having regard to the notification file submitted in full to the merger service on January 19, 2011,  </w:t>
        <w:br/>
        <w:t xml:space="preserve">regarding the joint control of the La Poste group by the Caisse des Dépôts et Consignations (hereinafter "CDC") and the French State, formalized by a principle agreement dated October 18, 2010, and a shareholders' agreement dated February 3, 2011, signed between the representative of the CDC and the representative of the State Shareholdings Agency;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French State, represented by the State Shareholdings Agency (hereinafter "APE"), a service attached to the Ministry of Economy, Finance and Industry that manages the State's holdings in a number of companies, holds 100% of the capital of La Poste, a public limited company since March 1, 2010. As the head of the La Poste group, it holds several subsidiaries whose activities are organized around four main sectors: mail (universal mail service, mail solutions for businesses, and press logistics); express parcels, through its internal division Coliposte and its subsidiaries* Chronopost, Exapaq, and Geopost (rapid parcel delivery services); La Banque Postale (banking and insurance services for individuals and businesses); and finally a fourth sector under the La Poste brand that markets products and services to the general public at 17,107 contact points in France.  </w:t>
        <w:br/>
        <w:t>* Correction of a material error.</w:t>
      </w:r>
    </w:p>
    <w:p>
      <w:r>
        <w:t xml:space="preserve">2. The CDC is a public institution governed by Articles L. 518-2 and following of the Monetary and Financial Code, which fulfills missions of general interest in support of public policies conducted by the State and local authorities (deposits on savings accounts that finance social rental housing and urban renewal, consignments and regulated deposits, pensions, and the treasury of Social Security) and engages in activities open to competition. These are grouped around four sectors: (i) personal insurance, (ii) real estate, (iii) services, (iv) SME development and venture capital. Created by the law of April 28, 1816, the CDC is placed "under the supervision and guarantee of the legislative authority," this mode of governance being intended to ensure the autonomy of this institution which manages private funds requiring special protection.  </w:t>
        <w:br/>
        <w:t xml:space="preserve">3. The operation, formalized by a principle agreement of October 18, 2010, and a shareholders' agreement of February 3, 2011, between the APE and the CDC, concerns the entry of the CDC into the capital of La Poste at a level of 26.32%, the remaining balance held by the French State. According to Article 7 of the law of February 9, 2010, transforming La Poste into a public limited company and the shareholders' agreement, it is provided that the board of directors of La Poste shall be composed of 21 directors: seven representatives of employees, one representative of municipalities and their groupings, one representative of users, and twelve representatives appointed by the general meeting of shareholders in such a way as to ensure their representation reflecting their capital holding and allowing them to hold together the majority of voting rights within the board of directors [Confidential]. Furthermore, according to the shareholders' agreement, the State and the CDC will together have a veto right over the strategic decisions of La Poste and its subsidiaries, notably [Confidential]. Thus, the La Poste group, initially exclusively controlled by the French State, will, following the operation, be jointly controlled by the CDC and the French State. The notified operation therefore constitutes a concentration within the meaning of Article L. 430-1 of the Commercial Code.  </w:t>
        <w:br/>
        <w:t xml:space="preserve">4. The companies concerned together achieve a total worldwide turnover of more than 150 million euros (the La Poste group on behalf of the State: 20.5 billion euros for the fiscal year ending December 31, 2009; CDC: […] euros for the same period). At least two of these companies achieve a turnover in France exceeding 50 million euros (La Poste group on behalf of the State: 17.9 billion euros for the fiscal year ending December 31, 2009; CDC: […] euros for the same year). Given these turnover figures, the thresholds set out in Article 1, paragraph 2, a) and b) of Council Regulation (EC) No. 139/2004 of January 20, 2004, are met. Nevertheless, since the CDC and La Poste generate more than two-thirds of their turnover in France, the operation is not of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1 See Article L. 518-2 of the Monetary and Financial Code</w:t>
      </w:r>
    </w:p>
    <w:p>
      <w:r>
        <w:t xml:space="preserve">II. Definition of the relevant markets  </w:t>
        <w:br/>
        <w:t xml:space="preserve">5. Since La Poste and the CDC are simultaneously present in the banking services and document and data processing sectors for third parties, it is necessary to define the markets relevant to these two sectors of activity.  </w:t>
        <w:br/>
        <w:t xml:space="preserve">A. BANKING SERVICES  </w:t>
        <w:br/>
        <w:t xml:space="preserve">1. MARKETS FOR PRODUCTS AND SERVICES  </w:t>
        <w:br/>
        <w:t xml:space="preserve">6. Community and national decision-making practice distinguishes three categories of services:  </w:t>
        <w:br/>
        <w:t xml:space="preserve">- operations on financial markets (investment and financing banking);  </w:t>
        <w:br/>
        <w:t xml:space="preserve">- banking services intended for businesses (commercial banking);  </w:t>
        <w:br/>
        <w:t xml:space="preserve">- banking services intended for individuals and households (retail banking).  </w:t>
        <w:br/>
        <w:t xml:space="preserve">a) Investment and financing banking  </w:t>
        <w:br/>
        <w:t xml:space="preserve">7. Investment and financing banking encompasses operations on financial markets. National2 and community3 competition authorities distinguish the markets for asset management, mergers and acquisitions advisory, placement and underwriting activities related to the issuance of corporate securities, activities and transactions on financial markets, and activities on money markets.  </w:t>
        <w:br/>
        <w:t xml:space="preserve">8. The parties to the operation are simultaneously active only in the asset management market, an activity that covers the management services of securities held by businesses and institutional clients. A distinction has been considered within this activity between portfolio management, mutual fund management, and private equity4:  </w:t>
        <w:br/>
        <w:t xml:space="preserve">- portfolio management (excluding real estate assets and UCITS) consists of optimizing the financial return of a portfolio of securities consisting of stocks and/or bonds held by a client;  </w:t>
        <w:br/>
        <w:t xml:space="preserve">- mutual fund management of the UCITS type consists of managing this type of collective investment fund on behalf of businesses and institutional clients;  </w:t>
        <w:br/>
        <w:t xml:space="preserve">- private equity activity consists of an investor entering the capital of non-listed companies that need an equity injection. Several forms of intervention can be distinguished, namely venture capital to finance the start-up of new businesses, buyout capital...  </w:t>
        <w:br/>
        <w:t xml:space="preserve">2 See notably the letter from the minister C2006-45 of August 10, 2006, to the boards of the Caisse Nationale des Caisses d’Epargne and the Banque Fédérale des Banques Populaires; decision 09-DCC-16 of June 22, 2009, regarding the merger between the Caisse d’Epargne and Banque Populaire groups.  </w:t>
        <w:br/>
        <w:t xml:space="preserve">3 See in particular the decisions of the European Commission dated December 3, 2008, in case COMP/M.5384 BNP Paribas/Fortis; October 3, 2007, in case COMP/M.4844 Fortis/ABN AMRO Assets; August 6, 2007, in case COMP/M.4692 Barclays/ABN AMRO; March 28, 2006, in case COMP/M.4155, BNP Paribas/BNL; October 18, 2005, in case COMP/M.3894 Unicredito/HVB; June 2, 2005, in case COMP/M.3740 Barclays Bank/FöreningsSparbanken; February 6, 1998, in case IV/M.1096 Société Générale/Hambros Bank.  </w:t>
        <w:br/>
        <w:t>4 Letter from the minister C2006-45 and decision 09-DCC-16 mentioned above.</w:t>
      </w:r>
    </w:p>
    <w:p>
      <w:r>
        <w:rPr>
          <w:b/>
        </w:rPr>
        <w:t>[Pages 4–6]</w:t>
      </w:r>
    </w:p>
    <w:p>
      <w:r>
        <w:t xml:space="preserve">development to finance the company's growth, buyout capital (or LBO) intended to support the transfer or sale of the company, and turnaround capital to assist in the recovery of a company in difficulty.  </w:t>
        <w:br/>
        <w:t xml:space="preserve">9. The CDC is active in only the following three segments: venture capital, growth capital, and buyout capital. La Poste is active in the portfolio management segment, the management of mutual funds of the UCITS type, and, within private equity, in the venture capital and growth capital segments. Therefore, only these last two markets will be subject to a competitive analysis.  </w:t>
        <w:br/>
        <w:t xml:space="preserve">b) Commercial banking  </w:t>
        <w:br/>
        <w:t xml:space="preserve">10. Commercial banking encompasses banking services intended for businesses. In previous decisions, the European Commission and the Competition Authority have questioned, while leaving the issue open, the segmentation of commercial banking markets based on the size of client companies (SMEs or large enterprises). Similarly, the Competition Authority had considered segmenting the market according to sectors of activity, notably distinguishing a market for credit to farmers. However, in the absence of any impact on the competitive analysis, the precise delineation of the markets can be left open.  </w:t>
        <w:br/>
        <w:t xml:space="preserve">11. Regarding segmentation by type of services, the Competition Authority distinguished the following markets: the market for sight deposits, the market for corporate savings, the market for investment credits, the market for real estate credit to professionals, the market for leasing, the market for credit to local authorities, the market for credit insurance, the market for financing foreign trade, the market for payment cards (acquisition of transactions made by merchants equipped with card payment systems), the market for international payments, the market for remote local payments, the market for short-term (financing) products, the market for factoring, the market for custody, and the market for fund administration. There is no need, in the context of the present operation, to challenge this delineation.  </w:t>
        <w:br/>
        <w:t xml:space="preserve">12. In this case, La Poste's offer, through its subsidiary La Banque Postale, is currently limited, in the commercial banking markets, to collection and payment solutions as well as investment offers. The CDC, for its part, engages in two types of banking activities:  </w:t>
        <w:br/>
        <w:t xml:space="preserve">- on the one hand, it acts in its capacity as a public service banker for justice, which is primarily exercised for the benefit of a very limited exclusive clientele (notaries, judicial administrators, courts, etc.). To the extent that the banking services provided under this exclusive right are not subject to competition from other operators, they constitute a captive activity on which the operation will have no effect;  </w:t>
        <w:br/>
        <w:t xml:space="preserve">- on the other hand, it engages in a very marginal activity with a clientele open to competition, serving a number of public interest institutions for approximately […] clients in France.  </w:t>
        <w:br/>
        <w:t xml:space="preserve">13. Thus, the activities of the parties overlap only in the following market segments: the market for sight deposits, the market for corporate savings, the market for payment cards, the market for international payments, and the market for remote local payments.  </w:t>
        <w:br/>
        <w:t xml:space="preserve">c) Retail banking  </w:t>
        <w:br/>
        <w:t xml:space="preserve">14. It follows from previous decision-making practice that retail banking encompasses banking services intended for individuals and households. For this entire clientele, the following markets have been defined: the market for sight deposits, the market for banking savings (savings bonds, term accounts, etc.), the market for off-balance-sheet savings (SICAVs, mutual funds, and pension funds), the market for real estate credit, the market for consumer credit, the market for debt restructuring credit, the market for issuing payment cards, the market for private banking, and the market for securities custody. There is no need, in the context of the present operation, to challenge this delineation.  </w:t>
        <w:br/>
        <w:t xml:space="preserve">15. In this case, the CDC has a very marginal activity in these markets as it does not offer bank accounts to individuals and is not subject to the regulations concerning the right to an account. By exception, two categories of persons may hold accounts maintained by the CDC: on the one hand, employees of the CDC group who have the possibility of opening an account with their employer; on the other hand, individuals subject to a legal protection measure whose guardians or curators have the ability to transfer or open an account with the CDC.  </w:t>
        <w:br/>
        <w:t xml:space="preserve">16. As for La Poste, it offers a complete range of banking services in the retail banking markets. It also launched its activity in April 2010 in the debt restructuring credit segment, an activity that has remained negligible to date.  </w:t>
        <w:br/>
        <w:t xml:space="preserve">17. Consequently, the activities of the parties overlap only in the following market segments: the market for sight deposits, the market for banking savings, the market for off-balance-sheet savings, the market for real estate credit, and the market for issuing payment cards.  </w:t>
        <w:br/>
        <w:t xml:space="preserve">2. GEOGRAPHICAL MARKETS  </w:t>
        <w:br/>
        <w:t xml:space="preserve">18. Regarding the markets for financing and investment banking, competition authorities generally consider that these markets have at least a European dimension. In this case, the parties to the operation provided their market shares at the national level on the grounds that they are primarily active in France. In any case, in the absence of any competitive difficulties, the question of the exact geographical definition of these markets can be left open.  </w:t>
        <w:br/>
        <w:t xml:space="preserve">19. Regarding the markets for retail banking and commercial banking, the Competition Authority has considered, on two occasions, that it was relevant to conduct the competitive analysis at both a national and a local level. However, in this case, the CDC does not have its own network of agencies distributed across the national territory but relies, for the provision of services related to its activity as a public service banker for justice as well as for services related to the competitive market, on the network of the Public Treasury. Thus, the 98 general treasuries and the 19 financial revenue offices carry out banking operations in mainland France for all clients whose accounts are opened in the CDC's books. However, these departmental services are not intended to engage in competitive commercial activity at the local level.  </w:t>
        <w:br/>
        <w:t xml:space="preserve">20. Therefore, since the CDC does not have a network of commercial banking agencies at the local level, the competitive analysis will only be conducted within the framework of the present operation at a national level.  </w:t>
        <w:br/>
        <w:t xml:space="preserve">B. THE PROCESSING OF DOCUMENTS AND DATA ON BEHALF OF THIRD PARTIES  </w:t>
        <w:br/>
        <w:t xml:space="preserve">1. SERVICE MARKETS  </w:t>
        <w:br/>
        <w:t xml:space="preserve">21. The processing of documents and data allows for the receipt of documents or data, their integration into an information system (capture, management, and storage), their provision to the client in the form they wish (physical or digital), and their dissemination internally or externally. This process thus integrates the processing of incoming, circulating, and outgoing flows of documents and data from companies or administrations that can either manage this process internally or delegate all or part of the management to external service providers.  </w:t>
        <w:br/>
        <w:t xml:space="preserve">22. Previous decision-making practice has considered that it is appropriate to define two distinct markets: on the one hand, the market for processing incoming documents and data (opening mail, sorting and digitization, integration into the information system); on the other hand, the market for processing outgoing documents and data (a set of services that are part of the process of handling postal shipments).  </w:t>
        <w:br/>
        <w:t xml:space="preserve">23. The parties argue that, on the contrary, it would be appropriate to define a global market for the processing of documents and data on behalf of third parties since, from the supply perspective, operators would market comprehensive offers for the processing of documents and data, covering all stages of the life cycle of documents and data, and that, from the demand perspective, companies would be looking for integrated solutions or services covering a maximum of document and data processing functions.  </w:t>
        <w:br/>
        <w:t xml:space="preserve">24. Nevertheless, the question of the exact delineation of these markets can be left open in this case as the conclusions of the competitive analysis will remain unchanged regardless of the assumptions made.  </w:t>
        <w:br/>
        <w:t>25. In this case, the La Poste group operates in the sector of processing documents and data on behalf of third parties through its subsidiary Docapost, which encompasses all the subsidiaries of the group dedicated to this activity. Docapost is present in both the "incoming" and "outgoing" market segments. The CDC engages in activity in the same sector through CDC Fast, CDC Arkhineo, and Achatpublic.com. These companies are only active in the market for processing incoming data and documents.</w:t>
      </w:r>
    </w:p>
    <w:p>
      <w:r>
        <w:rPr>
          <w:b/>
        </w:rPr>
        <w:t>[Pages 7–9]</w:t>
      </w:r>
    </w:p>
    <w:p>
      <w:r>
        <w:t xml:space="preserve">2. GEOGRAPHICAL MARKETS  </w:t>
        <w:br/>
        <w:t xml:space="preserve">26. Previous decisional practice has considered that the markets for processing incoming and outgoing documents and data could have a national dimension. The parties to the present operation confirm this analysis. Therefore, there is no reason to question this definition in the context of the present operation.  </w:t>
        <w:br/>
        <w:t xml:space="preserve">III. Competitive Analysis  </w:t>
        <w:br/>
        <w:t xml:space="preserve">A. BANKING SERVICES MARKETS  </w:t>
        <w:br/>
        <w:t xml:space="preserve">27. At the national level, the market shares of the parties to the operation in the various banking services markets where their activities overlap are estimated as follows:  </w:t>
        <w:br/>
        <w:t xml:space="preserve">Market Shares CDC La Poste Total  </w:t>
        <w:br/>
        <w:t xml:space="preserve">Current deposits [0-5] % [10-20] % [10-20] %  </w:t>
        <w:br/>
        <w:t xml:space="preserve">Bank savings [0-5] % [10-20] % [10-20] %  </w:t>
        <w:br/>
        <w:t xml:space="preserve">Off-balance sheet savings [0-5] % [0-5] % [0-5] %  </w:t>
        <w:br/>
        <w:t xml:space="preserve">Retail banking  </w:t>
        <w:br/>
        <w:t xml:space="preserve">Mortgage credit [0-5] % [0-5] % [0-5] %  </w:t>
        <w:br/>
        <w:t xml:space="preserve">Issuance of payment cards [0-5] % [10-20] % [10-20] %  </w:t>
        <w:br/>
        <w:t xml:space="preserve">Current deposits [0-5] % [0-5] % [0-5] %  </w:t>
        <w:br/>
        <w:t xml:space="preserve">Corporate savings [0-5] % [0-5] % [0-5] %  </w:t>
        <w:br/>
        <w:t xml:space="preserve">Payment cards [0-5] % [0-5] % [0-5] %  </w:t>
        <w:br/>
        <w:t xml:space="preserve">Commercial banking  </w:t>
        <w:br/>
        <w:t xml:space="preserve">International payments [0-5] % [5-10] % [5-10] %  </w:t>
        <w:br/>
        <w:t>Domestic remote payments [5-10] % [5-10] % [10-20] %</w:t>
      </w:r>
    </w:p>
    <w:p>
      <w:r>
        <w:t xml:space="preserve">28. In the retail banking and commercial banking markets, the combined market shares of the parties remain below 20%, regardless of the segment considered, with an increment between [0-5] and [0-5] %, except for the segment of domestic remote payments. Furthermore, the parties will continue to face competition from the five major French banking groups: Société Générale Group, Crédit Agricole-Crédit Lyonnais Group, Crédit Mutuel-CIC Group, BNP-Paribas Group, and Banque Populaire-Caisse d’Epargne Group. Finally, as specified during the definition of the relevant markets, the activity of the CDC in these markets remains marginal and aimed at a specific clientele. Given its specific status, the legal framework of its missions, and the absence of a real network of local agencies, the CDC does not appear as a genuine competitor.  </w:t>
        <w:br/>
        <w:t xml:space="preserve">29. In the investment and financing banking markets, the market shares of the parties also remain modest, although the CDC is a more significant player than in the previous markets. However, the parties will notably face competition from several important players following the operation, such as AXA Private Equity, PAI Partners, KKR, TPG Capital, Apax, and 3I, with these six players individually accounting for approximately [5-10] % of the market in France.  </w:t>
        <w:br/>
        <w:t xml:space="preserve">30. Therefore, the operation is not likely to harm competition in the banking services markets.  </w:t>
        <w:br/>
        <w:t xml:space="preserve">B. MARKETS FOR DOCUMENT AND DATA PROCESSING ON BEHALF OF THIRD PARTIES  </w:t>
        <w:br/>
        <w:t xml:space="preserve">31. In the overall market for document and data processing on behalf of third parties, the CDC and the La Poste group account for [0-5] % and [10-20] % of the market, respectively, resulting in a combined share of [10-20] %. The parties will continue to face competition from several significant players, such as the Xerox group (10-15 % of the market), Tessi (10-15 % of the market), Arvato Services France (5-10 %), and several other smaller players. Additionally, the parties indicate that their market size estimate did not take into account the activity carried out in this market by IT services companies (SSII), such as Cap Gemini Outsourcing Services, Electronic Data Systems France, and Atos Origin, as they did not have access to information regarding the revenues of these companies in the relevant market.  </w:t>
        <w:br/>
        <w:t>32. In the market segment limited to processing incoming documents and data, the CDC and the La Poste group account for [0-5] % and [20-30] % of the market, respectively, resulting in a combined share of [20-30] %. The position of the parties will notably be challenged by Tessi and the Xerox group, which individually account for at least [10-20] % of the market.</w:t>
      </w:r>
    </w:p>
    <w:p>
      <w:r>
        <w:t xml:space="preserve">33. Consequently, given the low increment of market shares and the existence of numerous competitors, the operation is not likely to harm competition in the relevant markets.  </w:t>
        <w:br/>
        <w:t xml:space="preserve">DECIDES  </w:t>
        <w:br/>
        <w:t xml:space="preserve">Single Article: The operation notified under number 10-0237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