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https://www.autoritedelaconcurrence.fr/fr/decision-de-controle-des-concentrations/relative-la-prise-de-controle-conjoint-du-groupe-lowell-par</w:t>
      </w:r>
    </w:p>
    <w:p>
      <w:r>
        <w:t>Pages translated : 2</w:t>
      </w:r>
    </w:p>
    <w:p/>
    <w:p>
      <w:r>
        <w:rPr>
          <w:b/>
        </w:rPr>
        <w:t>[Pages 1–2]</w:t>
      </w:r>
    </w:p>
    <w:p>
      <w:r>
        <w:t xml:space="preserve">REPUBLIC OF FRANCE  </w:t>
        <w:br/>
        <w:t xml:space="preserve">Decision No. 14-DCC-137 of September 18, 2014  </w:t>
        <w:br/>
        <w:t xml:space="preserve">regarding the joint control acquisition of the Lowell group  </w:t>
        <w:br/>
        <w:t xml:space="preserve">by Ontario Teacher’s Pension Plan Board alongside TDR Capital  </w:t>
        <w:br/>
        <w:t xml:space="preserve">The Competition Authority,  </w:t>
        <w:br/>
        <w:t xml:space="preserve">Having regard to the complete notification file submitted to the mergers department on August 27, 2014,  </w:t>
        <w:br/>
        <w:t xml:space="preserve">concerning the joint control acquisition of Metis Bidco, holding the Lowell group, by Ontario Teacher’s Pension Plan Board alongside TDR Capital, materialized by a share transfer agreement dated August 8, 2014, and by an investment agreement project;  </w:t>
        <w:br/>
        <w:t xml:space="preserve">Having regard to Book IV of the Commercial Code relating to the freedom of prices and competition, and notably its Articles L. 430-1 to L. 430-7;  </w:t>
        <w:br/>
        <w:t xml:space="preserve">Adopts the following decision:  </w:t>
        <w:br/>
        <w:t xml:space="preserve">1. The notified operation consists of the joint control acquisition of the Lowell group, a provider of consumer credit management services, specialized in the collection of consumer debts in the United Kingdom, by Ontario Teacher’s Pension Plan Board, a Canadian law company, alongside the investment fund TDR Capital. This operation constitutes a concentration within the meaning of Article L. 430-1 of the Commercial Code. Given the revenues generated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14-152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