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https://www.autoritedelaconcurrence.fr/fr/decision-de-controle-des-concentrations/relative-la-prise-de-controle-conjoint-du-groupe-magnolia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26-DCC-23 of January 27, 2026  </w:t>
        <w:br/>
        <w:t xml:space="preserve">regarding the joint control acquisition of the Magnolia group  </w:t>
        <w:br/>
        <w:t xml:space="preserve">by the Malakoff Humanis group and the company Cazoo Finance  </w:t>
        <w:br/>
        <w:t xml:space="preserve">The Competition Authority,  </w:t>
        <w:br/>
        <w:t xml:space="preserve">Having regard to the complete notification file submitted to the mergers department on January 9, 2026,  </w:t>
        <w:br/>
        <w:t xml:space="preserve">concerning the joint control acquisition of the Magnolia group by the Malakoff Humanis group and  </w:t>
        <w:br/>
        <w:t xml:space="preserve">the company Cazoo Finance formalized by a transfer contract signed on December 19,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other documents in the file;  </w:t>
        <w:br/>
        <w:t xml:space="preserve">Adopts the following decision:  </w:t>
        <w:br/>
        <w:t xml:space="preserve">1. The notified operation consists of the joint control acquisition of the company Primavera Holding  </w:t>
        <w:br/>
        <w:t xml:space="preserve">and its subsidiaries, which constitute the Magnolia group, via an acquisition holding owned at  </w:t>
        <w:br/>
        <w:t xml:space="preserve">73.7% by the Malakoff Humanis group, through Holding Malakoff Humanis, and at  </w:t>
        <w:br/>
        <w:t xml:space="preserve">22.7% by the company Cazoo Finance controlled by Mr. Gérald Loobuyck. A  </w:t>
        <w:br/>
        <w:t xml:space="preserve">draft shareholders' agreement organizes the governance of the Magnolia group and the  </w:t>
        <w:br/>
        <w:t xml:space="preserve">joint nature of its control by the two main shareholders of the acquisition holding. The  </w:t>
        <w:br/>
        <w:t xml:space="preserve">sector primarily concerned by the operation is that of personal insurance, the  </w:t>
        <w:br/>
        <w:t xml:space="preserve">design and distribution of insurance on behalf of third parties aimed at individuals  </w:t>
        <w:br/>
        <w:t xml:space="preserve">and businesses. Given the revenues generated by the companies concerned,  </w:t>
        <w:br/>
        <w:t xml:space="preserve">the operation does not fall under the jurisdiction of the European Union. On the other hand, the thresholds of  </w:t>
        <w:br/>
        <w:t xml:space="preserve">control mentioned in I of Article L. 430-2 of the Commercial Code are exceeded. The present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 xml:space="preserve">in the concerned markets.  </w:t>
        <w:br/>
        <w:t xml:space="preserve">1 The managing partners of the Magnolia group will hold 3.6% of the capital of the acquisition holding, without  </w:t>
        <w:br/>
        <w:t>however holding control, within the meaning of competition law.</w:t>
      </w:r>
    </w:p>
    <w:p>
      <w:r>
        <w:t xml:space="preserve">DECIDES  </w:t>
        <w:br/>
        <w:t xml:space="preserve">Single Article: The operation notified under number 26-008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