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https://www.autoritedelaconcurrence.fr/fr/decision-de-controle-des-concentrations/relative-la-prise-de-controle-conjoint-du-groupe-meriguet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17-DCC-140 of August 29, 2017  </w:t>
        <w:br/>
        <w:t xml:space="preserve">regarding the joint control acquisition of the Mériguet group by the  </w:t>
        <w:br/>
        <w:t xml:space="preserve">companies Raise Investissement, Idi, Tikehau Capital, and APC Invest  </w:t>
        <w:br/>
        <w:t xml:space="preserve">The Competition Authority,  </w:t>
        <w:br/>
        <w:t xml:space="preserve">Having regard to the complete notification file submitted to the mergers department on August 9, 2017,  </w:t>
        <w:br/>
        <w:t xml:space="preserve">concerning the joint control acquisition of the Mériguet group by the companies Raise Investissement,  </w:t>
        <w:br/>
        <w:t xml:space="preserve">Idi, Tikehau Capital, and APC Invest, formalized by a purchase agreement dated July 12,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transaction consists of the acquisition by the companies Raise Investissement, Idi, Tikehau  </w:t>
        <w:br/>
        <w:t xml:space="preserve">Capital, and APC Invest of joint control of the Mériguet group, which specializes in high-end painting and  </w:t>
        <w:br/>
        <w:t xml:space="preserve">decorative craftsmanship. This transaction constitutes a concentration operation within the meaning of  </w:t>
        <w:br/>
        <w:t xml:space="preserve">Article L. 430-1 of the Commercial Code. Given the revenues generated by the companies involved, the  </w:t>
        <w:br/>
        <w:t xml:space="preserve">transaction does not fall under the jurisdiction of the European Union. However, the control thresholds  </w:t>
        <w:br/>
        <w:t xml:space="preserve">provided for in point I of Article L. 430-2 of the Commercial Code are exceeded. This transaction is  </w:t>
        <w:br/>
        <w:t xml:space="preserve">therefore subject to the provisions of Articles L. 430-3 and following of the Commercial Code relating to  </w:t>
        <w:br/>
        <w:t xml:space="preserve">economic concentration.  </w:t>
        <w:br/>
        <w:t xml:space="preserve">2. In light of the elements of the file, the transaction is not likely to harm competition in the relevant  </w:t>
        <w:br/>
        <w:t>markets.</w:t>
      </w:r>
    </w:p>
    <w:p>
      <w:r>
        <w:t xml:space="preserve">DECIDES  </w:t>
        <w:br/>
        <w:t xml:space="preserve">Sole Article: The transaction notified under number 17-159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