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https://www.autoritedelaconcurrence.fr/fr/decision-de-controle-des-concentrations/relative-la-prise-de-controle-conjoint-du-groupe-moma-par</w:t>
      </w:r>
    </w:p>
    <w:p>
      <w:r>
        <w:t>Pages translated : 2</w:t>
      </w:r>
    </w:p>
    <w:p/>
    <w:p>
      <w:r>
        <w:rPr>
          <w:b/>
        </w:rPr>
        <w:t>[Pages 1–2]</w:t>
      </w:r>
    </w:p>
    <w:p>
      <w:r>
        <w:t>FRENCH REPUBLIC</w:t>
        <w:br/>
        <w:t>Decision No. 24-DCC-23 of February 9, 2024</w:t>
        <w:br/>
        <w:t>regarding the joint control acquisition of the Moma group by Butler Industries and the Patou group</w:t>
        <w:br/>
        <w:t>The Competition Authority,</w:t>
        <w:br/>
        <w:t>Having regard to the complete notification file submitted to the mergers department on January 23, 2024, concerning the joint control acquisition of the Moma group by Butler Industries and the Patou group, formalized by an investment protocol dated December 3, 2023;</w:t>
        <w:br/>
        <w:t>Having regard to Book IV of the Commercial Code relating to the freedom of prices and competition, and in particular its Articles L. 430-1 to L. 430-7;</w:t>
        <w:br/>
        <w:t>Adopts the following decision:</w:t>
        <w:br/>
        <w:t>1. The notified operation consists of the joint control acquisition by Butler Industries and the Patou group of the Moma group, which is primarily active in the restaurant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23-318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