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https://www.autoritedelaconcurrence.fr/fr/decision-de-controle-des-concentrations/relative-la-prise-de-controle-conjoint-du-groupe-nextpool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13-DCC-79 of June 27, 2013  </w:t>
        <w:br/>
        <w:t xml:space="preserve">regarding the joint control of the Nextpool group by  </w:t>
        <w:br/>
        <w:t xml:space="preserve">the company Paris Orléans and Edmond de Rothschild Capital Partners  </w:t>
        <w:br/>
        <w:t xml:space="preserve">The Competition Authority,  </w:t>
        <w:br/>
        <w:t xml:space="preserve">Having regard to the complete notification file sent to the mergers department on June 7, 2013,  </w:t>
        <w:br/>
        <w:t xml:space="preserve">concerning the joint control of the company Financière Nextpool by the company Paris  </w:t>
        <w:br/>
        <w:t xml:space="preserve">Orléans and Edmond de Rothschild Capital Partners formalized by a memorandum of understanding dated June 6 and 7, 2013;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joint control of Financière Nextpool, a company at the head of a group manufacturing equipment for swimming pools, by the company Paris Orléans, holding company of the Rothschild group alongside the company Edmond de Rothschild Capital Partners. It constitutes a concentration operation within the meaning of Article L. 430-1 of the Commercial Code. Given the turnover achieved by the companies concerned, the operation does not have a community dimension. On the other hand, the control thresholds mentioned in point 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13-082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