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https://www.autoritedelaconcurrence.fr/fr/decision-de-controle-des-concentrations/relative-la-prise-de-controle-conjoint-du-groupe-nge-par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21-DCC-193 of October 27, 2021  </w:t>
        <w:br/>
        <w:t xml:space="preserve">regarding the joint control acquisition of the NGE group by the companies  </w:t>
        <w:br/>
        <w:t xml:space="preserve">Montefiore Investment, Financière Saint Bénezet, and  </w:t>
        <w:br/>
        <w:t xml:space="preserve">Financière Saint Anne  </w:t>
        <w:br/>
        <w:t xml:space="preserve">The Competition Authority,  </w:t>
        <w:br/>
        <w:t xml:space="preserve">Having regard to the complete notification file submitted to the mergers department on October 12, 2021,  </w:t>
        <w:br/>
        <w:t xml:space="preserve">concerning the joint control acquisition of the NGE group by the companies Montefiore Investment,  </w:t>
        <w:br/>
        <w:t xml:space="preserve">Financière Saint Bénezet, and Financière Sainte Anne, formalized by a unilateral investment promise  </w:t>
        <w:br/>
        <w:t xml:space="preserve">dated July 23,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NGE group, which is  </w:t>
        <w:br/>
        <w:t xml:space="preserve">primarily active in the construction and public works sectors but also in the electrical engineering,  </w:t>
        <w:br/>
        <w:t xml:space="preserve">real estate development, and urban equipment networks sectors, by the companies Montefiore Investment,  </w:t>
        <w:br/>
        <w:t xml:space="preserve">Financière Saint Bénezet, and Financière Sainte Anne. It constitutes a concentration operation within the meaning  </w:t>
        <w:br/>
        <w:t xml:space="preserve">of Article L. 430-1 of the Commercial Code. Given the revenues generated by the companies involved,  </w:t>
        <w:br/>
        <w:t xml:space="preserve">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21-205 is authorized.  </w:t>
        <w:br/>
        <w:t xml:space="preserve">The interim president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