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https://www.autoritedelaconcurrence.fr/fr/decision-de-controle-des-concentrations/relative-la-prise-de-controle-conjoint-du-groupe-open-par</w:t>
      </w:r>
    </w:p>
    <w:p>
      <w:r>
        <w:t>Pages translated : 2</w:t>
      </w:r>
    </w:p>
    <w:p/>
    <w:p>
      <w:r>
        <w:rPr>
          <w:b/>
        </w:rPr>
        <w:t>[Pages 1–2]</w:t>
      </w:r>
    </w:p>
    <w:p>
      <w:r>
        <w:t xml:space="preserve">FRENCH REPUBLIC  </w:t>
        <w:br/>
        <w:t xml:space="preserve">Decision No. 20-DCC-119 of September 7, 2020  </w:t>
        <w:br/>
        <w:t xml:space="preserve">regarding the joint control acquisition of the Open group by its  </w:t>
        <w:br/>
        <w:t xml:space="preserve">founders and the company Montefiore Investment  </w:t>
        <w:br/>
        <w:t xml:space="preserve">The Competition Authority,  </w:t>
        <w:br/>
        <w:t xml:space="preserve">Having regard to the complete notification file sent to the mergers department on August 10, 2020,  </w:t>
        <w:br/>
        <w:t xml:space="preserve">concerning the joint control acquisition of the Open group by its founders and the company Montefiore  </w:t>
        <w:br/>
        <w:t xml:space="preserve">Investment, formalized by a letter of intent dated June 9, 2020, and by a memorandum of understanding1 dated July 22,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of the Open group, through  </w:t>
        <w:br/>
        <w:t xml:space="preserve">a company created for this purpose and by means of a public purchase offer, by the founding  </w:t>
        <w:br/>
        <w:t xml:space="preserve">shareholders of the group, including Mr. Laurent Sadoun, who carries out an economic activity  </w:t>
        <w:br/>
        <w:t xml:space="preserve">within the meaning of 2° of I of Article L. 430-1 of the Commercial Code, and by the company  </w:t>
        <w:br/>
        <w:t xml:space="preserve">Montefiore Investment. The companies concerned are active in the information technology services sector. The operation constitutes a concentration within the meaning of Article L. 430-1 of the  </w:t>
        <w:br/>
        <w:t xml:space="preserve">Commercial Code. Given the turnover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In light of the elements of the file, the operation is not likely to harm competition in the relevant markets.  </w:t>
        <w:br/>
        <w:t>1 Correction of material error</w:t>
      </w:r>
    </w:p>
    <w:p>
      <w:r>
        <w:t xml:space="preserve">DECIDES  </w:t>
        <w:br/>
        <w:t xml:space="preserve">Sole Article: The operation notified under number 20-137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