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https://www.autoritedelaconcurrence.fr/fr/decision-de-controle-des-concentrations/relative-la-prise-de-controle-conjoint-du-groupe-parksuites</w:t>
      </w:r>
    </w:p>
    <w:p>
      <w:r>
        <w:t>Pages translated : 12</w:t>
      </w:r>
    </w:p>
    <w:p/>
    <w:p>
      <w:r>
        <w:rPr>
          <w:b/>
        </w:rPr>
        <w:t>[Pages 1–3]</w:t>
      </w:r>
    </w:p>
    <w:p>
      <w:r>
        <w:t xml:space="preserve">FRENCH REPUBLIC  </w:t>
        <w:br/>
        <w:t xml:space="preserve">Decision No. 14-DCC-82 of June 12, 2014  </w:t>
        <w:br/>
        <w:t>regarding the joint control of the Park&amp;Suites group and the GMI group by the M Finance group and the investment fund Equistone</w:t>
      </w:r>
    </w:p>
    <w:p>
      <w:r>
        <w:t xml:space="preserve">The Competition Authority,  </w:t>
        <w:br/>
        <w:t xml:space="preserve">Having regard to the notification file sent to the concentrations service on March 24, 2014, and declared complete on April 11, 2014, concerning the joint control of the Park&amp;Suites group and the GMI group by the M Finance group and the investment fund Equistone, formalized by two transfer agreement protocols dated January 6, 2014, and a draft pact and structuring dated March 7, 2014;  </w:t>
        <w:br/>
        <w:t xml:space="preserve">Having regard to Book IV of the Commercial Code relating to the freedom of prices and competition, and in particular its Articles L. 430-1 to L. 430-7;  </w:t>
        <w:br/>
        <w:t xml:space="preserve">Having regard to the commitments presented on May 20, 2014, by the notifying party and subsequently modified on June 5, 2014;  </w:t>
        <w:br/>
        <w:t xml:space="preserve">Having regard to the additional elements transmitted by the parties during the investigation;  </w:t>
        <w:br/>
        <w:t>Adopts the following decision:</w:t>
      </w:r>
    </w:p>
    <w:p>
      <w:r>
        <w:t xml:space="preserve">I. The concerned companies and the operation  </w:t>
        <w:br/>
        <w:t xml:space="preserve">1. Equistone Partners Europe (hereinafter "EPE") is a fund management company, wholly owned by Equistone LLP. Equistone LLP, through its various entities, operates in various sectors but does not control any company active in the hotel sector or related sectors.  </w:t>
        <w:br/>
        <w:t xml:space="preserve">2. The company M Finance controls several companies primarily active in real estate development and the operation of tourist residences. Residually, it develops a property management activity. M Finance holds 100% of the capital of the Park&amp;Suites group (hereinafter "P&amp;S"), which constitutes the operational hub for tourist residences, through several companies (Park and Suites, Park and Suites Etudes which manages student residences as well as several companies responsible for the operation of a specific establishment).  </w:t>
        <w:br/>
        <w:t xml:space="preserve">3. Financière de Valériane (hereinafter "FdV") is the holding company at the head of the Menguy Investment group (hereinafter "GMI group"). FdV is owned 50.51% by the FCPR Ekkio and 49.49% by Mr. Menguy (43.66%) and other minority shareholders. The GMI group controls the company Dom’Ville’Service, the main company of the group, active in the operation of tourist residences under the Appart’City brand. It also owns the companies Groupe France Epargne, active in real estate marketing, and Appart Service Gestion Syndic, which provides management services within the group's tourist residences.  </w:t>
        <w:br/>
        <w:t xml:space="preserve">4. Under the terms of two transfer agreement protocols dated January 6, 2014, and a draft pact and structuring dated March 7, 2014, the notified operation consists initially of the acquisition by the investment fund Equistone IV FCPR, managed by EPE, of 40% of the capital of the Park&amp;Suites group, with M Finance retaining 60% of the remaining capital. Given the term sheet defining the governance rules of the Park&amp;Suites group, Equistone and M Finance will hold joint control of the Park&amp;Suites group. In a second phase, the Park&amp;Suites group is to acquire 100% of the capital of FdV from the FCPR Ekkio, Mr. Menguy, and the minority shareholders, resulting in the exclusive control of the GMI group, which will therefore ultimately be jointly controlled by Equistone and M Finance.  </w:t>
        <w:br/>
        <w:t xml:space="preserve">5. These two successive operations constitute interdependent operations and may, in this respect, be considered as a single concentration. Indeed, these two operations lead to the joint control of the Park&amp;Suites group and the GMI group by the same entities (M Finance and Equistone). Furthermore, the various agreements and financing protocols provide that these two operations are linked by mutual conditionality. Finally, these two operations will be carried out simultaneously.  </w:t>
        <w:br/>
        <w:t xml:space="preserve">6. The notified operation therefore results in the joint control of the Park&amp;Suites group and the GMI group by Equistone and the M Finance group, and constitutes a concentration within the meaning of Article L. 430-1 of the Commercial Code.  </w:t>
        <w:br/>
        <w:t>7. The concerned companies together achieved a consolidated turnover excluding taxes on a global scale of more than 150 million euros in the last closed financial year (Equistone: […] euros for the financial year ending December 31, 2012; M Finance: […] euros for the same financial year; GMI group: […] euros for the same financial year). Each of these companies achieved, in France, a turnover exceeding 50 million euros (Equistone: […] euros for the financial year ending December 31, 2012; M Finance: […] euros for the same financial year; GMI group: […] euros for the same financial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8. The operation concerns the sector of tourist residences: P&amp;S and GMI manage 54 and 73 tourist residences respectively, mainly classified as 2 or 3 stars. These residences are mostly located in urban areas.  </w:t>
        <w:br/>
        <w:t xml:space="preserve">A. DEFINITION OF PRODUCT MARKETS  </w:t>
        <w:br/>
        <w:t xml:space="preserve">1. SEGMENTATION BY TYPE OF COMMERCIAL ACCOMMODATION  </w:t>
        <w:br/>
        <w:t xml:space="preserve">9. The French competition authorities have had the opportunity to define a market for "the rental of apartments within homogeneous furnished residences" which includes tourist residences as well as rentals that are assimilated to them, but does not include either holiday clubs or independent tourist rentals.  </w:t>
        <w:br/>
        <w:t xml:space="preserve">10. The notifying party contests this delimitation and considers that traditional hotels and tourist residences, particularly when located in urban areas, are in direct competition.  </w:t>
        <w:br/>
        <w:t xml:space="preserve">11. In this regard, the European Commission has repeatedly highlighted the existence of certain differences between tourist residences and traditional hotels, particularly concerning the nature of the products, the type of clients, and the duration of stays. However, it has considered that these differences were not sufficient to definitively characterize the existence of two distinct markets. It has nonetheless left the question open in the absence of competitive issues.  </w:t>
        <w:br/>
        <w:t xml:space="preserve">12. In this case, the market test conducted in connection with the present operation confirms the existence of significant differences between hotels and tourist residences regarding both the services offered (presence of a kitchenette, less significant ancillary services in tourist residences) and the duration of stay. Thus, respondents generally indicated that the average duration of stay in traditional hotels is less than 2 nights, while it is generally more than 3 nights in tourist residences. The market test also confirms the existence of a significant price gap between these two categories of accommodation, with a hotel night generally charged at a higher rate (around 10 to 20%) than a night in a tourist residence. These price differences are largely explained by the differences in costs borne by hotels, particularly in terms of personnel.  </w:t>
        <w:br/>
        <w:t>13. Nevertheless, the notifying party has emphasized that short stays are developing in tourist residences, with the services provided being able to be adapted to this type of stay. Several respondents confirmed that the competitive pressure exerted by hotels on tourist residences mainly occurs for short stays, with the differences in services and prices being more limited (for short stays, the notifying party estimates that the differences in services and prices are less pronounced).</w:t>
      </w:r>
    </w:p>
    <w:p>
      <w:r>
        <w:rPr>
          <w:b/>
        </w:rPr>
        <w:t>[Pages 4–6]</w:t>
      </w:r>
    </w:p>
    <w:p>
      <w:r>
        <w:t>the prices charged by tourist residences are approximately 10% higher than the prices charged for longer stays). Regarding the P&amp;S and Appart’City residences, the data provided by the notifying party indicate that short stays represent less than half of the nights for all the residences operated by the parties. Overall, despite various elements suggesting that for part of their activity, tourist residences offer services similar to traditional hotels, the majority of the clientele corresponds to a demand for medium to long-term accommodation, a segment in which tourist residences significantly distinguish themselves from the hotel offer, both in terms of prices and services offered.</w:t>
      </w:r>
    </w:p>
    <w:p>
      <w:r>
        <w:t>14. Furthermore, several managers of tourist residences interviewed indicated that they only marginally consider the prices charged by hotels to determine their pricing policy, focusing primarily on the prices of tourist residences alone, which tends to confirm the low competitive pressure exerted by hotels.</w:t>
      </w:r>
    </w:p>
    <w:p>
      <w:r>
        <w:t>15. Overall, despite the existence of a certain permeability between these different types of accommodation, particularly in urban areas, it appears that tourist residences and hotels should be distinguished in that competition between these two modes of accommodation primarily occurs in the short stay segment. The competition between these two offers also appears asymmetric, with tourist residences exerting stronger competitive pressure on hotels than vice versa, given the advantageous rates charged by tourist residences.</w:t>
      </w:r>
    </w:p>
    <w:p>
      <w:r>
        <w:t>2. SEGMENTATION BY LEVEL OF COMFORT</w:t>
      </w:r>
    </w:p>
    <w:p>
      <w:r>
        <w:t>a) Segmentation by the level of comfort of classified residences</w:t>
      </w:r>
    </w:p>
    <w:p>
      <w:r>
        <w:t>16. The European Commission as well as the minister have considered a segmentation of the hotel market according to the level of comfort. The question of the exact segmentation has been left open, with several methods having been considered: grouping by pairs of stars (1-2 stars; 2-3 stars; 3-4 stars) or taking into account the immediately lower category and the immediately higher category (1-3 stars, 2-4 stars). The minister, for his part, considered distinguishing an economic category (1-3 stars) and a luxury hotel category (4 stars and above).</w:t>
      </w:r>
    </w:p>
    <w:p>
      <w:r>
        <w:t>17. Regarding tourist residences, the minister did not consider a distinction by level of comfort. Nevertheless, in the Accor/Pierre et Vacances case, which concerned 2 and 3-star tourist residences, the Commission calculated market shares in the 2-3 star segment and in the 3-star segment.</w:t>
      </w:r>
    </w:p>
    <w:p>
      <w:r>
        <w:t>18. The notifying party believes that it is appropriate to differentiate residences of 1-2 stars, which correspond to an economic offer, from 3-4 star residences, which correspond to mid-range residences. Alternatively, the notifying party proposes to segment the market star by star.</w:t>
      </w:r>
    </w:p>
    <w:p>
      <w:r>
        <w:t>19. The investigation with the parties and the information from the market test do not, however, support the position formulated by the notifying party.</w:t>
      </w:r>
    </w:p>
    <w:p>
      <w:r>
        <w:t>20. Thus, the price data provided do not demonstrate a greater gap between residences classified as 2 and 3 stars than between residences classified as 1 and 2 stars. Furthermore, the majority of respondents to the market test emphasize that for a given classification level, a residence competes with establishments of the immediately lower and higher levels, with the price level being imperfectly correlated with the comfort level. It therefore appears artificial to segment the market by analyzing the 1-2 star segment on one side, and the 3-4 star segment on the other. The relevance of a star-based analysis is also not confirmed by the market test.</w:t>
      </w:r>
    </w:p>
    <w:p>
      <w:r>
        <w:t>21. In this case, the majority of the parties' residences are classified as 2 or 3 stars. Different segmentations will be considered, in accordance with decision-making practice (by pair, then by group 1-3 stars, 2-4 stars), the question of the exact delimitation may remain open, the conclusions of the competitive analysis remaining unchanged regardless of the delimitation considered.</w:t>
      </w:r>
    </w:p>
    <w:p>
      <w:r>
        <w:t>b) Regarding unclassified residences</w:t>
      </w:r>
    </w:p>
    <w:p>
      <w:r>
        <w:t>22. It is also necessary to examine the issue of taking into account so-called "unclassified" residences in the competitive analysis.</w:t>
      </w:r>
    </w:p>
    <w:p>
      <w:r>
        <w:t>23. The notifying party indicated that a significant share of tourist residences did not have classification but should be taken into account in the calculation of market shares. In fact, depending on the areas, unclassified residences represent between 16% and 35% of the accommodation offer in tourist residences, regardless of classification.</w:t>
      </w:r>
    </w:p>
    <w:p>
      <w:r>
        <w:t>24. The majority of respondents confirm that the offer of unclassified tourist residences exerts some competitive pressure on classified establishments, particularly because the classification criteria are less important for customers than in hotels. Other respondents pointed out that consumer reviews (on the residences' websites or booking sites like Trip Advisor) now play a significant prescriptive role. The various responses also indicate that unclassified residences generally correspond to a very low-cost offer.</w:t>
      </w:r>
    </w:p>
    <w:p>
      <w:r>
        <w:t>25. Nevertheless, some respondents pointed out that unclassified residences could suffer from a visibility deficit as they are not listed, particularly by tourist offices.</w:t>
      </w:r>
    </w:p>
    <w:p>
      <w:r>
        <w:t>26. Given the importance of the offer of unclassified tourist residences, it seems that obtaining a classification is not as decisive a signal as in traditional hotels to attract customers, particularly concerning the lower market. It therefore seems that this category exerts some competitive pressure on classified residences. However, given the great heterogeneity of this offer (some are truly low-end, while others offer services equivalent to a 2-star or even 3-star residence), the relevance of taking unclassified residences into account will be studied on a case-by-case basis.</w:t>
      </w:r>
    </w:p>
    <w:p>
      <w:r>
        <w:t>B. GEOGRAPHICAL DELIMITATION OF MARKETS</w:t>
      </w:r>
    </w:p>
    <w:p>
      <w:r>
        <w:t>27. Decision-making practice has considered that the market for tourist residences is of a local dimension. Specifically concerning urban tourist residences, the European Commission has considered defining markets at the level of urban agglomerations, in accordance with practice in the traditional hotel sector.</w:t>
      </w:r>
    </w:p>
    <w:p>
      <w:r>
        <w:t>28. The market test confirms the local dimension of this market. Indeed, tourist residences, like hotels, adjust their rates daily based on the rates charged by competitors they identify as the closest in their area of activity. In this regard, the market test also confirms that the agglomeration is a relevant geographical delimitation of the market, with tourist residences located in urban areas generally being situated according to the main transportation and economic activity axes of the city.</w:t>
      </w:r>
    </w:p>
    <w:p>
      <w:r>
        <w:t>29. In this case, the operation concerns the areas of Paris and the Paris region, Montpellier, Toulouse, Nice, Cannes, Bordeaux, Aix-Marseille, Nantes, Lyon, and Annemasse, where both parties are present.</w:t>
      </w:r>
    </w:p>
    <w:p>
      <w:r>
        <w:t>30. Regarding Paris and the Paris region, the market test tends to indicate that the relevant geographical delimitation would be, on the one hand, Paris and the first crown, and on the other hand, for the rest of Île-de-France, a division into quarters according to the East, West, North, and South axes.</w:t>
      </w:r>
    </w:p>
    <w:p>
      <w:r>
        <w:t>31. For the provincial areas concerned by the operation, the investigation has confirmed the following elements:</w:t>
        <w:br/>
        <w:t>- in Montpellier and Toulouse: the agglomeration is a relevant delimitation of the market;</w:t>
        <w:br/>
        <w:t>- in Nice: the agglomeration constitutes a distinct area from the Cannes-Mandelieu area;</w:t>
        <w:br/>
        <w:t>- in Cannes: the information gathered allows us to conclude that a delimitation including Cannes and its nearby suburbs, notably the municipalities of Cannet and Mandelieu, is relevant;</w:t>
        <w:br/>
        <w:t>- in Bordeaux: the market test confirms that the agglomeration is a relevant delimitation but does not allow us to conclude regarding the relevance of including the municipality of Saint-Jean-d’Illac, which is further away, where the only P&amp;S residence in the area is located. The competitive analysis will be conducted including this municipality, with the conclusions remaining unchanged regardless of the hypotheses considered;</w:t>
        <w:br/>
        <w:t>- in Aix-Marseille: the operation does not result in any overlap in the city of Marseille itself, with only Appart’City being present there. However, the market test does not allow us to conclude whether it is relevant to include Aix and the surrounding municipalities in the Marseille area, as various respondents pointed out the abundance of the offer in Marseille itself and the transportation difficulties in this area.</w:t>
      </w:r>
    </w:p>
    <w:p>
      <w:r>
        <w:rPr>
          <w:b/>
        </w:rPr>
        <w:t>[Pages 7–9]</w:t>
      </w:r>
    </w:p>
    <w:p>
      <w:r>
        <w:t>zone. The European Commission has had the opportunity to examine this area and has alternatively considered a reduced area in Marseille and an area including the agglomeration formed by Aix and Marseille;</w:t>
      </w:r>
    </w:p>
    <w:p>
      <w:r>
        <w:t>- in Nantes: the market test generally confirms the delimitation at the level of the Nantes agglomeration. Two municipalities (Vertou and Sautron) included by the notifying party in the Nantes agglomeration could potentially be excluded from the relevant market. Nevertheless, regardless of the hypothesis considered, the competitive analysis remains unchanged;</w:t>
      </w:r>
    </w:p>
    <w:p>
      <w:r>
        <w:t>- in Lyon: the notifying party, based on the expertise of the MKG firm, indicates that usually, the market is delimited by the peripheral ring road (Lyon and Villeurbanne). In this case, given that P&amp;S's residences are located in the Northwest of Lyon, the notifying party proposed to expand the area and take into account municipalities located in the Northwest. However, the market test shows that, given the configuration of the Lyon agglomeration and the public transport network, the more peripheral municipalities (Marcy l’Etoile, Saint Priest, and Tassin la demie Lune) should be excluded from the area. In this case, the competitive analysis will be conducted on an area including Lyon, Villeurbanne, as well as Caluire-et-Cuire, a municipality very close to Lyon, with the conclusions remaining unchanged regardless of the hypothesis considered.</w:t>
      </w:r>
    </w:p>
    <w:p>
      <w:r>
        <w:t>32. However, for all the areas mentioned above, the exact delimitation of the market may remain open, the competitive analysis not being modified regardless of the hypothesis considered.</w:t>
      </w:r>
    </w:p>
    <w:p>
      <w:r>
        <w:t>33. Finally, regarding Annemasse, the notifying party considers that it would be appropriate to examine the effects of the concentration on an area extending to the entire suburb of Geneva and includes, in addition to Annemasse, the municipalities located Northwest of Lake Geneva (notably Ferney Voltaire located near Geneva airport). However, the elements collected during the market test do not confirm this viewpoint. Indeed, the majority of respondents with tourist residences Northwest of Lake Geneva do not consider themselves to be in competition with the residences of the Annemasse agglomeration. More specifically, they believe that the attraction pole of Geneva only extends to the area defined by the notifying party during the largest trade shows held in Geneva. They also indicated that they do not take into account the prices practiced in the Annemasse area to establish their own rates.</w:t>
      </w:r>
    </w:p>
    <w:p>
      <w:r>
        <w:t>34. The notifying party, for its part, provided the list of accommodations used by P&amp;S establishments in the area for their "yield management" (a management technique aimed at maximizing revenue by implementing differentiated pricing based on occupancy rates). These data confirm that the residences located in Annemasse do not follow the prices practiced by accommodations located Northwest of Lake Geneva to establish their own rates.</w:t>
      </w:r>
    </w:p>
    <w:p>
      <w:r>
        <w:t>35. Thus, considering these various elements and the fact that the overlap occurs in Annemasse itself, the relevant market retained will be the Annemasse agglomeration, including its nearby suburbs (notably the municipality of Gaillard).</w:t>
      </w:r>
    </w:p>
    <w:p>
      <w:r>
        <w:t>III. Competitive Analysis</w:t>
      </w:r>
    </w:p>
    <w:p>
      <w:r>
        <w:t>36. The operation results in overlaps in a total of 10 areas. The areas of Paris and the Paris region, Montpellier, Toulouse, Nice, Cannes, Bordeaux, and Aix-Marseille do not raise particular concerns (A). The areas of Nantes (B), Lyon (C), and Annemasse (C) will be presented in detail.</w:t>
      </w:r>
    </w:p>
    <w:p>
      <w:r>
        <w:t>A. AREAS OF PARIS AND THE PARIS REGION, MONTPELLIER, TOULOUSE, NICE, CANNES, BORDEAUX, AND AIX-MARSEILLE</w:t>
      </w:r>
    </w:p>
    <w:p>
      <w:r>
        <w:t>37. The areas of Paris and the Paris region, Montpellier, Toulouse, Nice, Cannes, Bordeaux, Aix-Marseille do not raise competition concerns.</w:t>
      </w:r>
    </w:p>
    <w:p>
      <w:r>
        <w:t>38. Regarding Paris and the Paris region, P&amp;S has 5 residences, including one rated 2 stars, three rated 3 stars, and one rated 4 stars. Appart’City has 12 residences, including 3 unclassified, one rated 2 stars, and the others rated 3 stars. The operation does not create overlaps in the northern quarter of Île-de-France. In the areas of Paris and its first crown, the western quarter and the eastern quarter of Île-de-France, the most significant overlaps occur in the 2-3 star segment. Following the operation, the new entity will hold a market share of less than [20-30]% in these three areas. In the southern quarter of Île-de-France, the most significant overlap occurs in the 1-2 star segment, in which the new entity will hold a market share of [30-40]%. Nevertheless, the strengthening of the new entity remains limited, as P&amp;S operates only 5 residences throughout Île-de-France. Furthermore, all national competitors as well as many independent establishments are located in Paris and the Paris region. Given these various elements, the operation is not likely to raise competition concerns in these areas.</w:t>
      </w:r>
    </w:p>
    <w:p>
      <w:r>
        <w:t>39. Regarding Montpellier, P&amp;S has 2 residences rated 3 stars and Appart’City has one residence rated 2 stars. The new entity will hold a market share of [30-40]% in this agglomeration in the 2-3 star or 1-3 star segment. Taking into account the unclassified residences, the market share of the new entity would be [20-30]%. The operation is therefore not likely to raise competition concerns.</w:t>
      </w:r>
    </w:p>
    <w:p>
      <w:r>
        <w:t>40. Regarding Toulouse, P&amp;S has 7 residences (1 rated 2 stars, 5 rated 3 stars, and 1 rated 4 stars). Appart’City has only one unclassified residence. Taking into account all unclassified residences, the new entity will hold a market share of [30-40]% in the 1-3 star segment. In any case, the acquirer and the target do not offer the same level of service in this area, and the strengthening of P&amp;S remains limited. Additionally, there are 10 other residences rated 3 stars in the area, as well as one residence rated 2 stars and 12 unclassified. The operation is therefore not likely to raise competition concerns in this area.</w:t>
      </w:r>
    </w:p>
    <w:p>
      <w:r>
        <w:t>41. In the Cannes-Mandelieu area, P&amp;S is present in Mandelieu (one 3-star residence) and in Le Cannet (one 3-star residence and one 4-star residence). Appart’City has one 3-star residence in Mandelieu. Regardless of the delimitations by comfort level considered, the market share of the new entity remains below [10-20]%. The operation is therefore not likely to raise competition concerns.</w:t>
      </w:r>
    </w:p>
    <w:p>
      <w:r>
        <w:t>42. Regarding Nice, P&amp;S and Appart’City each have one residence rated 3 stars. In this area, the market share of the new entity remains below [30-40]% regardless of the delimitation by comfort level considered. Taking into account the unclassified residences, the market share of the new entity in the 1-3 star segment would be [20-30]%. Several national competitors are present in this area, where there are also 3 alternative residences rated 3 stars and several residences rated 2 stars and 4 stars. The operation does not raise competition concerns in this area.</w:t>
      </w:r>
    </w:p>
    <w:p>
      <w:r>
        <w:t>43. Regarding Bordeaux, P&amp;S has only one residence rated 3 stars located in Saint-Jean-d’Illac, while Appart’City has 2 residences rated 3 stars located in the center of Bordeaux. Including the municipality of Saint-Jean-d’Illac in the relevant geographic market, the most conservative hypothesis, the new entity would have a market share reaching at most [30-40]% according to the different segmentations by comfort level. 6 other residences rated 3 stars are present in the area. Taking into account the unclassified residences, the market share of the new entity would be [20-30]%. The operation is therefore not likely to raise competition concerns in this area.</w:t>
      </w:r>
    </w:p>
    <w:p>
      <w:r>
        <w:t>44. Regarding Aix-Marseille, Appart’City has one residence in Marseille rated 3 stars. P&amp;S has no establishment in the city of Marseille but has 4 residences (2 rated 2 stars and 2 rated 3 stars) in the Aix-Marseille area. However, the operation does not raise concerns in the Aix-Marseille area: the market share of the new entity reaches at most [30-40]%, and there is a significant alternative supply of residences rated 2 or 3 stars in the area. The operation is therefore not likely to raise competition concerns in this area.</w:t>
      </w:r>
    </w:p>
    <w:p>
      <w:r>
        <w:t>B. NANTES</w:t>
      </w:r>
    </w:p>
    <w:p>
      <w:r>
        <w:t>45. P&amp;S has 4 residences (1 residence rated 2 stars, 3 residences rated 3 stars) in Nantes, of which 3 are located in the periphery. Appart’City has 3 residences located in Nantes itself: 1 residence rated 2 stars, 2 residences rated 3 stars.</w:t>
      </w:r>
    </w:p>
    <w:p>
      <w:r>
        <w:t>46. In total, the new entity will have 7 residences out of the 11 rated residences in the agglomeration, including the entire supply of 2-star residence accommodations in this area and 5 residences out of 8 concerning 3-star residences.</w:t>
      </w:r>
    </w:p>
    <w:p>
      <w:r>
        <w:t>47. Regardless of the delimitation by comfort level considered, the operation leads to a significant strengthening of the new entity in the 1-2 star segment (63.5%, the operation resulting in an increment of [20-30]% market share), 2-3 stars (60%, +24%), 3-4 stars (43%, +16.5%), 1-3 stars (56%, +22%) or even 2-4 stars (43%, +19%).</w:t>
      </w:r>
    </w:p>
    <w:p>
      <w:r>
        <w:t>48. Nevertheless, two of the main competitors identified by the parties, Adagio and Réside Études, are present in this area, as well as 3 other competitors (independent or smaller chains). Finally, 2 residences rated 4 stars are present in the area. The notifying party considers that these can be assimilated to 2 or 3 star categories, given the prices practiced. These 5 residences represent 23% of the supply in the area when considering establishments rated from 1 to 3 stars. Thus, according to the</w:t>
      </w:r>
    </w:p>
    <w:p>
      <w:r>
        <w:rPr>
          <w:b/>
        </w:rPr>
        <w:t>[Pages 10–12]</w:t>
      </w:r>
    </w:p>
    <w:p>
      <w:r>
        <w:t>notifying party, these residences offer rates between 40 and 51 euros per night, with Park&amp;Suites residences priced between 37 and 57 euros, and Appart’City between 44 and 55 euros. Given the significance of their offer and their price proximity to the parties, these residences can be considered for evaluating the effects of the operation in the area. However, by including the offer of unclassified residences, the new entity represents only 43% of the 1-3 star residence segment and 38% of the 2-4 star residence segment.</w:t>
      </w:r>
    </w:p>
    <w:p>
      <w:r>
        <w:t>49. Furthermore, respondents to the market test do not fear a price increase in this area, with the responses also noting the existence of overcapacity in both the residences owned by the parties and those managed by their competitors.</w:t>
      </w:r>
    </w:p>
    <w:p>
      <w:r>
        <w:t>50. In light of these elements, the operation is not likely to raise competition issues in the Nantes area.</w:t>
      </w:r>
    </w:p>
    <w:p>
      <w:r>
        <w:t>C. LYON</w:t>
      </w:r>
    </w:p>
    <w:p>
      <w:r>
        <w:t>51. P&amp;S has 4 residences located in the city of Lyon, and a fifth located in Caluire-et-Cuire. These consist of 4 residences rated 3 stars and one rated 4 stars. Appart’City has 3 residences (including 1 currently unclassified but in the process of being classified as 2 stars, 1 residence rated 2 stars, and 1 residence rated 3 stars). 2 of these residences are located in Lyon itself and the third in Villeurbanne.</w:t>
      </w:r>
    </w:p>
    <w:p>
      <w:r>
        <w:t>52. The overlap occurs in terms of 3-star residences, with only Appart’City having one 2-star residence and one residence in the process of being classified as 2 stars.</w:t>
      </w:r>
    </w:p>
    <w:p>
      <w:r>
        <w:t>53. Following the operation, the new entity will hold a market share of [40-50]% (the operation resulting in an increment of [5-10]% market share) in the 2-3 star or 1-3 star segment, 58% (+9%) in the 3-4 star segment, and 49% (+14%) in the 2-4 star segment. Taking into account the residence in the process of being classified as 2 stars, the market share of the new entity is further strengthened ([50-60]% in the 2-3 star, 1-3 star, or 2-4 star segments).</w:t>
      </w:r>
    </w:p>
    <w:p>
      <w:r>
        <w:t>54. The notifying party nonetheless points out the significance of the offer of unclassified residences in this area (33% of the 1-3 star offer). It considers that, given the rates charged by these residences, most of them resemble residences classified as 2 or 3 stars. Taking these residences into account, the market share of the new entity in this area stands at [30-40]% in the 1-3 star segment and [40-50]% in the 2-4 star segment.</w:t>
      </w:r>
    </w:p>
    <w:p>
      <w:r>
        <w:t>55. The area is characterized by a significant diversity of offer, with all national competitors (Ascott, Résid Etudes, Accor/P&amp;V) present as well as several independents. Furthermore, the occupancy rate of the residences is low (P&amp;S: between 52% and 62% and Appart’City: between 56% and 60%). The market test confirms that some competitors also have overcapacity.</w:t>
      </w:r>
    </w:p>
    <w:p>
      <w:r>
        <w:t>56. Consequently, considering all these elements, the operation is not likely to harm competition in this area.</w:t>
      </w:r>
    </w:p>
    <w:p>
      <w:r>
        <w:t>D. ANNEMASSE</w:t>
      </w:r>
    </w:p>
    <w:p>
      <w:r>
        <w:t>57. In the Annemasse area and its neighboring municipalities, P&amp;S has 2 residences (1 residence rated 2 stars, in Annemasse, and 1 residence rated 3 stars in Gaillard). Appart’City has only one 3-star residence located in Annemasse.</w:t>
      </w:r>
    </w:p>
    <w:p>
      <w:r>
        <w:t>58. In this area, the new entity will hold a market share of [70-80]% (the operation resulting in an increment of 27%), with only one competing 3-star residence located in Gaillard. Furthermore, the occupancy rate of these residences is significant (for P&amp;S: 74% in Gaillard, 85% in Annemasse; Appart’City: 89%). Moreover, the area has no unclassified residences.</w:t>
      </w:r>
    </w:p>
    <w:p>
      <w:r>
        <w:t>59. Additionally, the tourist residences located in the Annemasse area are characterized by high occupancy rates. The recent establishment of the Appart’City residence, which quickly achieved a very high occupancy rate, reflects this dynamism. However, the time required for the construction of new establishments is on the order of 2 to 3 years. Furthermore, the majority of respondents to the market test believe that converting hotel rooms into aparthotel-type accommodations is not feasible, given the too small size of the hotel rooms. Therefore, the expected time horizon for the entry of potential new competitors into the area is not likely to exert immediate competitive pressure on the new entity.</w:t>
      </w:r>
    </w:p>
    <w:p>
      <w:r>
        <w:t>60. The operation thus results in the disappearance of a close competitor of P&amp;S and the creation of a quasi-monopoly in the Annemasse area.</w:t>
      </w:r>
    </w:p>
    <w:p>
      <w:r>
        <w:t>61. To remedy this, the notifying party has committed to divesting the 2-star P&amp;S residence located in Annemasse. The divestiture of this residence will have a direct and immediate effect on the market, allowing for the immediate entry of a new competitor, and will bring the market share of the new entity down to [60-70]% in terms of number of rooms.</w:t>
      </w:r>
    </w:p>
    <w:p>
      <w:r>
        <w:t>62. The adequacy of this commitment has been confirmed by the test conducted with the main market operators. Indeed, the impact of this commitment must be measured not only in terms of number of rooms but also in terms of maintaining an effective alternative offer capable of exerting competitive pressure on the entity resulting from the concentration. The commitment test confirmed that this commitment will thus maintain the diversity of the offer in the Annemasse area in the short term and that the acquirer of this residence would be able to exert effective competitive pressure on the two residences that the new entity will retain in the area.</w:t>
      </w:r>
    </w:p>
    <w:p>
      <w:r>
        <w:t>63. Furthermore, in addition to the immediate impact of the commitment, the acquisition of the divested residence will allow the acquirer to establish a presence in the Annemasse area on which it can rely to develop its activity in the long term, if local demand justifies it. The divestiture of the concerned residence to an appropriate acquirer is therefore likely to maintain sufficient competition in the area by exerting significant pressure on the new entity.</w:t>
      </w:r>
    </w:p>
    <w:p>
      <w:r>
        <w:t>64. Finally, to prevent any difficulties in implementing this commitment at the end of the period set for the divestiture, the notifying party has committed to divesting the 3-star P&amp;S residence located in Gaillard. In this case, the market share of the new entity will be reduced to 42%, which is a market share lower than that held by P&amp;S prior to the operation.</w:t>
      </w:r>
    </w:p>
    <w:p>
      <w:r>
        <w:t>65. The commitments made by the notifying party therefore effectively remedy the identified risk of harm to competition.</w:t>
      </w:r>
    </w:p>
    <w:p>
      <w:r>
        <w:t>DECIDES</w:t>
      </w:r>
    </w:p>
    <w:p>
      <w:r>
        <w:t>Sole Article: The operation notified under number 14-018 is authorized subject to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