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https://www.autoritedelaconcurrence.fr/fr/decision-de-controle-des-concentrations/relative-la-prise-de-controle-conjoint-du-groupe-picard-par</w:t>
      </w:r>
    </w:p>
    <w:p>
      <w:r>
        <w:t>Pages translated : 14</w:t>
      </w:r>
    </w:p>
    <w:p/>
    <w:p>
      <w:r>
        <w:rPr>
          <w:b/>
        </w:rPr>
        <w:t>[Pages 1–3]</w:t>
      </w:r>
    </w:p>
    <w:p>
      <w:r>
        <w:t xml:space="preserve">FRENCH REPUBLIC  </w:t>
        <w:br/>
        <w:t xml:space="preserve">Decision No. 20-DCC-06 of January 15, 2020  </w:t>
        <w:br/>
        <w:t>regarding the joint control of the Picard Group by the Zouari family and Lion Capital</w:t>
      </w:r>
    </w:p>
    <w:p>
      <w:r>
        <w:t xml:space="preserve">The Competition Authority,  </w:t>
        <w:br/>
        <w:t xml:space="preserve">Having regard to the notification file, submitted in full to the merger service on November 13, 2019, concerning the joint control of the Picard Group by, on the one hand, the company IGZ SAS, ultimately owned by the Zouari family, and, on the other hand, by Lion Capital formalized by a unilateral purchase promise signed on October 3, 2019, between IGZ SAS and the company Aryzta Investment Sarl;  </w:t>
        <w:br/>
        <w:t xml:space="preserve">Having regard to Book IV of the Commercial Code relating to price freedom and competition, and in particular its Articles L. 430-1 to L. 430-7;  </w:t>
        <w:br/>
        <w:t xml:space="preserve">Having regard to the additional elements provided by the notifying party during the investigation;  </w:t>
        <w:br/>
        <w:t xml:space="preserve">Having regard to the other documents in the file;  </w:t>
        <w:br/>
        <w:t>Adopts the following decision:</w:t>
      </w:r>
    </w:p>
    <w:p>
      <w:r>
        <w:t xml:space="preserve">Summary1  </w:t>
        <w:br/>
        <w:t xml:space="preserve">By virtue of the decision below, the Competition Authority has authorized the acquisition of joint control of the Picard Group by the Zouari family and the investment fund Lion Capital, which already holds a controlling stake in the target prior to the operation.  </w:t>
        <w:br/>
        <w:t xml:space="preserve">The Zouari family controls 31 retail stores predominantly in food under the brands Casino, Leader Price, Franprix, and Monoprix, located mainly in Paris and the Paris region.  </w:t>
        <w:br/>
        <w:t xml:space="preserve">The Picard Group is active in the sector of frozen product distribution and operates more than 1000 stores nationwide and abroad. The range of products sold in stores, almost exclusively under the Picard brand, includes more than 1000 references ranging from appetizers to desserts and from ingredients to prepared meals.  </w:t>
        <w:br/>
        <w:t xml:space="preserve">The parties are simultaneously present in the markets for the supply and retail distribution of frozen food products.  </w:t>
        <w:br/>
        <w:t xml:space="preserve">In the context of this decision, the Authority analyzed the market for the retail distribution of frozen food products.  </w:t>
        <w:br/>
        <w:t xml:space="preserve">First, the Authority noted that despite an imperfect substitutability of the frozen product offerings provided by the stores of the target on the one hand, and those of the acquirer on the other hand, the latter exert effective competitive pressure on specialized distributors, justifying the need to conduct an analysis of the effects of the operation on a market for the retail distribution of frozen products that includes both GSS and GSA.  </w:t>
        <w:br/>
        <w:t xml:space="preserve">The Authority also retained a delimitation of the markets for the retail distribution of frozen products at the local level, corresponding to catchment areas defined by the travel time that consumers are willing to undertake to reach the stores.  </w:t>
        <w:br/>
        <w:t xml:space="preserve">On this point, the investigation demonstrated that it was relevant to transpose the national decision-making practice regarding the geographical delimitation of markets in the field of food retail to the distribution of frozen products by specialized stores in this type of product.  </w:t>
        <w:br/>
        <w:t xml:space="preserve">The operation leads to overlaps in activities between the Zouari family and the Picard Group in the downstream market for the retail distribution of frozen products in 75 areas. Following a detailed analysis of the competitive situation in these areas, which is based in particular on market tests conducted with local players for the three most sensitive areas, the Authority ruled out any risk of horizontal effect by noting that consumers would have a credible and sufficient alternative offer following the operation.  </w:t>
        <w:br/>
        <w:t xml:space="preserve">The Authority also sought to address the concerns of certain stakeholders regarding the modification of the assortments of Picard stores, particularly through the addition of fresh products or by transforming stores currently under the Picard brand into stores under the GSA brand. In its analysis, the Authority considers such a change unlikely given the risk of loss of profitability of the target and the joint nature of the control exercised over the Picard Group.  </w:t>
        <w:br/>
        <w:t xml:space="preserve">At the conclusion of its competitive analysis, the Authority authorized the operation unconditionally.  </w:t>
        <w:br/>
        <w:t>1 This summary is strictly informative. Only the reasons for the decision numbered below are authoritative.</w:t>
      </w:r>
    </w:p>
    <w:p>
      <w:r>
        <w:t xml:space="preserve">SUMMARY  </w:t>
        <w:br/>
        <w:t xml:space="preserve">I. THE COMPANIES INVOLVED AND THE TRANSACTION ........................................................... 4  </w:t>
        <w:br/>
        <w:t xml:space="preserve">II. DELINEATION OF RELEVANT MARKETS .................................................................................. 5  </w:t>
        <w:br/>
        <w:t xml:space="preserve">A. Upstream supply markets ............................................................................................. 5  </w:t>
        <w:br/>
        <w:t xml:space="preserve">1. Product markets ........................................................................................................... 5  </w:t>
        <w:br/>
        <w:t xml:space="preserve">2. Geographic markets ..................................................................................................... 5  </w:t>
        <w:br/>
        <w:t xml:space="preserve">B. Downstream retail distribution markets for frozen products ..................................... 6  </w:t>
        <w:br/>
        <w:t xml:space="preserve">1. Service markets ........................................................................................................... 6  </w:t>
        <w:br/>
        <w:t xml:space="preserve">2. Geographic markets ..................................................................................................... 7  </w:t>
        <w:br/>
        <w:t xml:space="preserve">III. COMPETITIVE ANALYSIS .................................................................................................. 8  </w:t>
        <w:br/>
        <w:t xml:space="preserve">A. Effects of the operation on the upstream markets for the supply of frozen products .................................................................................................................................. 9  </w:t>
        <w:br/>
        <w:t xml:space="preserve">B. Effects of the operation on the downstream markets for the retail distribution of frozen products .................................................................................................................. 9  </w:t>
        <w:br/>
        <w:t xml:space="preserve">1. Methodology ............................................................................................................... 9  </w:t>
        <w:br/>
        <w:t xml:space="preserve">2. Analysis of local areas ............................................................................................... 10  </w:t>
        <w:br/>
        <w:t>C. Analysis of the effects of the operation in the event of a change in the model of Picard stores .................................................................................................................. 13</w:t>
      </w:r>
    </w:p>
    <w:p>
      <w:r>
        <w:rPr>
          <w:b/>
        </w:rPr>
        <w:t>[Pages 4–6]</w:t>
      </w:r>
    </w:p>
    <w:p>
      <w:r>
        <w:t>I. THE COMPANIES INVOLVED AND THE TRANSACTION</w:t>
      </w:r>
    </w:p>
    <w:p>
      <w:r>
        <w:t>1. The company IGZ SAS (hereinafter "IGZ") is exclusively controlled by the companies HGZ SAS and Imanes SARL, which are themselves 100% owned by the Zouari family. Through several companies, the Zouari family controls 31 retail stores predominantly focused on food under the brands Casino, Leader Price, Franprix, and Monoprix, located mainly in Paris and the Paris region.</w:t>
      </w:r>
    </w:p>
    <w:p>
      <w:r>
        <w:t>2. Lion Capital LLP (hereinafter "Lion Capital") is a limited partnership authorized and regulated by the UK Financial Services Authority, [confidential]. Lion Capital holds, prior to the transaction, a controlling stake in the Picard group jointly with the company Aryzta Investment Sarl (hereinafter "Aryzta").</w:t>
      </w:r>
    </w:p>
    <w:p>
      <w:r>
        <w:t>3. The Picard group (hereinafter, "the target") is active in the sector of frozen product distribution and operates over 1000 stores in France and abroad. The range of products sold in stores, almost exclusively under the Picard brand, includes more than 1000 references, ranging from appetizers to desserts and from ingredients to prepared meals. Prior to the transaction, the Picard group is jointly controlled by Lion Capital and Aryzta.</w:t>
      </w:r>
    </w:p>
    <w:p>
      <w:r>
        <w:t>4. The transaction is formalized by a unilateral purchase promise signed on October 3, 2019, and a share transfer agreement signed by the parties on December 10, 2019. It consists of the acquisition by IGZ, exclusively controlled by the Zouari family, of 44.55% of the shares previously held by Aryzta in Lion/Polaris Lux Holco Sarl, which itself controls the Picard group. Since it results in a change in the joint control of the Picard group, the transaction constitutes a concentration operation within the meaning of Article L. 430-1 of the Commercial Code.</w:t>
      </w:r>
    </w:p>
    <w:p>
      <w:r>
        <w:t>5. The companies involved together generate a total worldwide turnover of over 75 million euros (Zouari family: [≥ 75] million euros for the fiscal year ending December 31, 2018; Lion Capital: [≥ 75] million euros for the fiscal year ending December 31, 2018; Picard group: [≥ 75] million euros for the fiscal year ending December 31, 2018). Each of these companies generates, in France, a turnover exceeding 15 million euros (Zouari family: [≥ 15] million euros for the fiscal year ending December 31, 2018; Lion Capital: [≥ 15] million euros for the fiscal year ending December 31, 2018; Picard group: [≥ 15] million euros for the fiscal year ending December 31, 2018). Given these turnover figures, the transaction does not have a European dimension. However, the control thresholds related to retail mentioned in II of Article L. 430-2 of the Commercial Code are exceeded. This transaction is therefore subject to the provisions of Articles L. 430-3 and following of the Commercial Code, relating to economic concentration.</w:t>
      </w:r>
    </w:p>
    <w:p>
      <w:r>
        <w:t>II. DELINEATION OF RELEVANT MARKETS</w:t>
      </w:r>
    </w:p>
    <w:p>
      <w:r>
        <w:t>6. The parties are simultaneously present in the upstream supply and retail distribution markets for frozen food products.</w:t>
      </w:r>
    </w:p>
    <w:p>
      <w:r>
        <w:t>A. UPSTREAM SUPPLY MARKETS</w:t>
      </w:r>
    </w:p>
    <w:p>
      <w:r>
        <w:t>1. PRODUCT MARKETS</w:t>
      </w:r>
    </w:p>
    <w:p>
      <w:r>
        <w:t>7. The decision-making practice delineates as many supply markets for food products as there are product groups. Thus, the Competition Authority has identified a market for the supply of frozen products and ice cream distinct from other markets and has considered, within this, a specific market for the supply of ice creams, frozen desserts, and sorbets.</w:t>
      </w:r>
    </w:p>
    <w:p>
      <w:r>
        <w:t>8. European decision-making has also considered a segmentation of upstream supply markets based on distribution channels. The European Commission notes that "there are serious indications to suggest that certain supply markets can also be defined based on distribution channels, such that the supply to the food retail sector could constitute an autonomous market." The Competition Authority has also conducted competitive analyses solely on the channel of large-scale retail and food-dominant businesses (hereinafter "GMS") and considered the existence of distinct supply markets for frozen products intended for the HORECA sector.</w:t>
      </w:r>
    </w:p>
    <w:p>
      <w:r>
        <w:t>9. The question of the exact delineation of product markets may, however, remain open, as the conclusions of the competitive analysis remain unchanged, regardless of the segmentations considered.</w:t>
      </w:r>
    </w:p>
    <w:p>
      <w:r>
        <w:t>10. In the present case, the parties are simultaneously present in the upstream supply markets for frozen products and ice cream for the GMS.</w:t>
      </w:r>
    </w:p>
    <w:p>
      <w:r>
        <w:t>2. GEOGRAPHIC MARKETS</w:t>
      </w:r>
    </w:p>
    <w:p>
      <w:r>
        <w:t>11. The decision-making practice considers that the upstream supply markets for food products are of national dimension. It has thus found that consumer preferences, tastes, and eating habits, price differences, variations in market shares held by major operators according to member states, and the presence of manufacturer or distributor brands marketed only nationally do not allow for a broader market dimension to be retained.</w:t>
      </w:r>
    </w:p>
    <w:p>
      <w:r>
        <w:t>12. There is no reason to challenge this delimitation in the present case.</w:t>
      </w:r>
    </w:p>
    <w:p>
      <w:r>
        <w:t>B. DOWNSTREAM MARKETS FOR THE RETAIL DISTRIBUTION OF FROZEN PRODUCTS</w:t>
      </w:r>
    </w:p>
    <w:p>
      <w:r>
        <w:t>13. The parties are simultaneously active in the sector of retail distribution of frozen products.</w:t>
      </w:r>
    </w:p>
    <w:p>
      <w:r>
        <w:t>1. SERVICE MARKETS</w:t>
      </w:r>
    </w:p>
    <w:p>
      <w:r>
        <w:t>14. Regarding retail distribution predominantly in the food sector, the decision-making practice of the Authority distinguishes six categories of commerce based on several criteria, including the size of the stores, their sales techniques, their accessibility, the nature of the service provided, and the range of products offered: (i) hypermarkets (with a sales area exceeding 2,500 m²), (ii) supermarkets (food-dominant stores with a sales area between 400 m² and 2,500 m²), (iii) specialized commerce, (iv) small retail (less than 400 m²), (v) discount stores, and (vi) mail order.</w:t>
      </w:r>
    </w:p>
    <w:p>
      <w:r>
        <w:t>15. Specifically regarding frozen products and ice creams, in their previous decisions, the Competition Council (now the Authority) and the minister both noted that their distribution was ensured by both generalist companies (hypermarkets, supermarkets, convenience stores, and self-service) (hereinafter "GSA") and specialized companies (hereinafter "GSS"), some of which practice home delivery, and others also operate in fixed sales points.</w:t>
      </w:r>
    </w:p>
    <w:p>
      <w:r>
        <w:t>16. In the course of the investigation, the parties argued that, particularly in light of Opinion No. 94-A-30 of the Competition Council and Decision COMP/M.7669 of the European Commission, it is necessary to distinguish between the distribution of frozen products by GSA and by GSS, given the differences between the two types of stores in terms of geographical location, product ranges sold, services offered, price levels practiced, and brands marketed. Consequently, the parties believe that the circumstances previously considered to distinguish the distribution of frozen products by GSA and by GSS, notably the difference in assortments offered by the stores of the acquirer and the target, still prevail today. According to them, the transaction does not result in any overlap of activity between the Zouari family and the target.</w:t>
      </w:r>
    </w:p>
    <w:p>
      <w:r>
        <w:t>17. In this regard, while it is true that the imperfect substitutability between GSS and GSA may have justified the Competition Council's retention of the existence of a market in its Opinion No. 94-A-30, the Council and the minister have both noted that their distribution was ensured by both generalist companies (hypermarkets, supermarkets, convenience stores, and self-service) (hereinafter "GSA") and specialized companies (hereinafter "GSS"), some of which practice home delivery, and others also operate in fixed sales points.</w:t>
      </w:r>
    </w:p>
    <w:p>
      <w:r>
        <w:rPr>
          <w:b/>
        </w:rPr>
        <w:t>[Pages 7–9]</w:t>
      </w:r>
    </w:p>
    <w:p>
      <w:r>
        <w:t>distinct markets according to distribution channels, several elements that emerged during the investigation challenge the analysis provided by the notifying parties.</w:t>
      </w:r>
    </w:p>
    <w:p>
      <w:r>
        <w:t>18. First of all, it should be noted that the aforementioned decision of the European Commission left open the question of the existence of distinct distribution channels.</w:t>
      </w:r>
    </w:p>
    <w:p>
      <w:r>
        <w:t>19. Furthermore, recent French decision-making practice regarding other consumer goods has recognized the existence of a market for the retail distribution of specific products (for example, toys, gardening products) that includes both large-scale retailers (GSA) and specialized retailers (GSS). The Authority has recently considered, on several occasions, that at the stage of distribution to the final consumer, the offerings of GSAs are largely substitutable for those of GSS.</w:t>
      </w:r>
    </w:p>
    <w:p>
      <w:r>
        <w:t>20. Thus, taking into account this recent decision-making practice and the imperfect substitutability between the offerings of the acquirer's stores and those of the target, the Authority conducted a market test with competitors of the parties at the national level to identify the existence or not of competition between GSA and GSS regarding frozen products. On this point, all respondents to the market test confirmed the existence of competition, at the very least asymmetric, from the offerings of GSAs on products distributed by specialized frozen product stores.</w:t>
      </w:r>
    </w:p>
    <w:p>
      <w:r>
        <w:t>21. In order to refine the assessment of the competition exerted by GSAs on GSS in terms of frozen products, the Authority also questioned sector operators about the necessity for GSAs to offer a minimal assortment in order to be able to discipline GSS. However, the responses obtained did not allow for the identification, within GSAs, of a minimum size, in terms of shelf space or number of frozen product references, below which a large-scale retailer would no longer be able to compete with a specialized frozen product store regardless of the size of their frozen product section. Consequently, in the present case, for the purposes of the competitive analysis, all points of sale with a surface area greater than 120 m² operated by GSAs will be taken into account in the analysis.</w:t>
      </w:r>
    </w:p>
    <w:p>
      <w:r>
        <w:t>22. In conclusion, while the elements collected during the investigation attest to an imperfect substitutability of the frozen product offerings provided by the stores of the target on the one hand, and those of the acquirer on the other hand, the latter nevertheless exert effective competitive pressure on specialized distributors justifying the need to conduct, in this case, an analysis of the effects of the operation on the retail distribution markets for frozen products including both GSS and GSA.</w:t>
      </w:r>
    </w:p>
    <w:p>
      <w:r>
        <w:t>2. GEOGRAPHIC MARKETS</w:t>
      </w:r>
    </w:p>
    <w:p>
      <w:r>
        <w:t>23. The Competition Authority has never had to precisely delineate the catchment area of specialized frozen product stores. However, in its letter of March 3, 2003, the minister indicated that "the catchment area of these specialized stores [was] clearly local."</w:t>
      </w:r>
    </w:p>
    <w:p>
      <w:r>
        <w:t>24. The competitors surveyed during the market test overwhelmingly indicated that it was relevant to transpose the national decision-making practice regarding the geographic delineation of markets in the context of food retail to the distribution of frozen products by specialized frozen product stores.</w:t>
      </w:r>
    </w:p>
    <w:p>
      <w:r>
        <w:t>25. As a reminder, regarding the food retail sector, decision-making practice has defined distinct geographic markets depending on whether the areas concerned are located in Paris, in the immediate suburbs of Paris, or in the provinces.</w:t>
      </w:r>
    </w:p>
    <w:p>
      <w:r>
        <w:t>26. Regarding supermarkets located in Paris, the Authority considers that in the Paris market, "the catchment area can [...] be delineated around a radius of between 300 and 500 meters." It also specified that catchment areas of 500 meters around points of sale with a surface area greater than 400 m² could be retained.</w:t>
      </w:r>
    </w:p>
    <w:p>
      <w:r>
        <w:t>27. Regarding supermarkets located in the immediate suburbs of Paris, the Competition Authority retains a catchment area of 10 minutes by car around the stores concerned.</w:t>
      </w:r>
    </w:p>
    <w:p>
      <w:r>
        <w:t>28. Regarding supermarkets located in the greater suburbs of Paris and in the provinces, it emerges from the decision-making practice of the Authority that the conditions of competition are generally assessed over an area where consumer demand meets the supply of supermarkets and equivalent forms of commerce located within a 15-minute drive.</w:t>
      </w:r>
    </w:p>
    <w:p>
      <w:r>
        <w:t>29. Finally, regarding small retail businesses (stores with a surface area of less than 400 m²), the Authority specified that this category "is characterized by a clientele composed mainly of people living less than 500 meters from the point of sale, walking to the sales location and making small purchases." Thus, the effects of concentration operations concerning points of sale with a surface area of less than 400 m² have been examined in catchment areas corresponding to a walking time of 10 minutes. This area is reduced to 300 meters for small retail businesses in Paris.</w:t>
      </w:r>
    </w:p>
    <w:p>
      <w:r>
        <w:t>30. In the context of the present operation, the analysis was conducted by taking these various isochrone areas around the target stores, supplemented, when circumstances warranted, by the analysis of the actual footprints of the stores concerned.</w:t>
      </w:r>
    </w:p>
    <w:p>
      <w:r>
        <w:t>III. Competitive Analysis</w:t>
      </w:r>
    </w:p>
    <w:p>
      <w:r>
        <w:t>31. The operation leads to overlaps in activities between the Zouari family and the target in the upstream market for the supply of frozen products (A) and in the downstream market for the retail distribution of frozen products (B). Furthermore, given the responses from certain operators to the market tests conducted as part of the present investigation, it is necessary to analyze the potential competitive effects that may result from a change in the model of Picard stores following the operation (C).</w:t>
      </w:r>
    </w:p>
    <w:p>
      <w:r>
        <w:rPr>
          <w:b/>
        </w:rPr>
        <w:t>[Pages 10–12]</w:t>
      </w:r>
    </w:p>
    <w:p>
      <w:r>
        <w:t>only specialized store brand in frozen products present in the analyzed catchment area, since almost all sales areas of this type of store are dedicated to frozen products while only a very limited part of the sales areas of large-scale retailers is devoted to this activity (generally less than 5%).</w:t>
      </w:r>
    </w:p>
    <w:p>
      <w:r>
        <w:t>Determination of the selected areas</w:t>
      </w:r>
    </w:p>
    <w:p>
      <w:r>
        <w:t>40. In this case, the operation leads to overlaps in activities between the stores operated by the Zouari family and those of the target in 75 areas.</w:t>
      </w:r>
    </w:p>
    <w:p>
      <w:r>
        <w:t>41. For 38 of these areas, the market share of the new entity will be below 50% and the addition of market share resulting from the operation will be less than 2 points. In light of paragraphs 384 and 398 of the Authority's guidelines regarding merger control, the Authority considers that the operation is not likely to raise competition concerns in these areas.</w:t>
      </w:r>
    </w:p>
    <w:p>
      <w:r>
        <w:t>42. Of the remaining 37 areas, the Authority conducted an analysis of the market shares of the new entity by studying the actual catchment areas, referred to as "actual footprints," of each Picard store. In its aforementioned guidelines, the Authority indicated that "the travel time [of customers] can also be assessed based on the actual behavior of consumers in a given area. [...] The application of this 'actual footprint' method allows for an accurate snapshot of the customers to whom the store attracts"19.</w:t>
      </w:r>
    </w:p>
    <w:p>
      <w:r>
        <w:t>43. In these areas, to take into account the weight of the Picard group prior to the operation, as the only specialized brand present, and the low competitive proximity between the stores operated by the Zouari family and those of the target, the Authority focused its analysis only on the actual footprint areas where the market share of the new entity is above 50% and the addition of market share related to the operation is above one point. Indeed, for the areas where the addition of market shares resulting from the operation is below 1 point, the Authority believes that the operation would not, in this case, have an effect on the market structure in the relevant catchment areas.</w:t>
      </w:r>
    </w:p>
    <w:p>
      <w:r>
        <w:t>44. Only 8 areas among the 37 previously identified exhibit the characteristics defined above, namely, a market share of the parties exceeding 50% and an increment of more than one point.</w:t>
      </w:r>
    </w:p>
    <w:p>
      <w:r>
        <w:t>45. These include five areas located in Paris20, one area in the near suburbs of Paris21, and two areas in the provinces22. These areas have been subject to in-depth analysis based on the actual footprints provided by the parties.</w:t>
      </w:r>
    </w:p>
    <w:p>
      <w:r>
        <w:t>2. ANALYSIS OF LOCAL AREAS</w:t>
      </w:r>
    </w:p>
    <w:p>
      <w:r>
        <w:t>46. In five of these eight areas, the addition of market shares related to the operation is between 1 and 2 points.</w:t>
      </w:r>
    </w:p>
    <w:p>
      <w:r>
        <w:t>47. Regarding the Lamartine area23, located in Paris, the market share of the new entity will rise, following the operation, to [70-80]% with an addition of market shares of [0-5] points (i.e., 6 m² of sales area for frozen products). In this area, the new entity will still face competition from 12 competing stores, belonging to 4 distinct food distribution groups. Therefore, given the existence of a credible and sufficient alternative offer, any risk of harm to competition can be ruled out in the Lamartine area.</w:t>
      </w:r>
    </w:p>
    <w:p>
      <w:r>
        <w:t>48. Regarding the Chemin Vert area24, located in Paris, the market share of the new entity will rise, following the operation, to [50-60]% with an addition of market shares of [0-5] points (i.e., 4 m² of sales area for frozen products). In this area, the new entity will still face competition from 11 competing stores belonging to 3 distinct food distribution groups. Therefore, given the existence of a credible and sufficient alternative offer, any risk of harm to competition can be ruled out in the Chemin Vert area.</w:t>
      </w:r>
    </w:p>
    <w:p>
      <w:r>
        <w:t>49. Regarding the Cannes-Forville area25, located in Cannes, the market share of the new entity will rise, following the operation, to [60-70]% with an addition of market shares of [0-5] points (i.e., 10 m² of sales area for frozen products). In this area, the new entity will still face competition from 8 competing stores belonging to 5 distinct food distribution groups. Therefore, given the existence of a credible and sufficient alternative offer, any risk of harm to competition can be ruled out in the Cannes-Forville area.</w:t>
      </w:r>
    </w:p>
    <w:p>
      <w:r>
        <w:t>50. Regarding the Cannes-Juin area26, located in Cannes, the market share of the new entity will rise, following the operation, to [60-70]% with an addition of market shares of [0-5] points (i.e., 10 m² of sales area for frozen products). In this area, the new entity will still face competition from 14 competing stores belonging to 5 distinct food distribution groups. Therefore, given the existence of a credible and sufficient alternative offer, any risk of harm to competition can be ruled out in the Cannes-Juin area.</w:t>
      </w:r>
    </w:p>
    <w:p>
      <w:r>
        <w:t>51. Regarding the Prony area27, located in Paris, the market share of the new entity will rise, following the operation, to [70-80]% with an addition of market shares of [0-5] points (i.e., 5 m² of sales area for frozen products). In this area, following the operation, the new entity will still face competition from 6 competing stores belonging to two large distinct food distribution groups.</w:t>
      </w:r>
    </w:p>
    <w:p>
      <w:r>
        <w:t>52. While there will only be three food distribution groups active in the Prosny area following this operation, it is necessary to question the risk of coordinated effects in the retail market for frozen products. In this case, there is a strong asymmetry between the different players present in the area. Indeed, the new entity, the leading operator in the sector, will hold a market share of over [70-80]%, mainly linked to the operation of a store specialized in the distribution of frozen products, while the second will hold a market share of less than 20% and will only operate a general food store. Consequently, any risk of coordinated competitive harm in the Prosny area can be ruled out, due to the lack of possibility for the three operators to easily establish a common course of action.</w:t>
      </w:r>
    </w:p>
    <w:p>
      <w:r>
        <w:t>53. For the three remaining areas, for which the addition of market shares related to the operation in the actual footprints of the Picard stores is between 2 and 3 points, the Authority conducted a local market test with the competing establishments identified by the parties.</w:t>
      </w:r>
    </w:p>
    <w:p>
      <w:r>
        <w:t>54. Regarding the Tournelle area28, located in Paris, the market share of the new entity will rise, following the operation, to [90-100]% with an addition of market shares of [0-5] points (i.e., 3 m² of sales area for frozen products). In this area, the new entity will still face competition from 3 competing stores belonging to 3 distinct food distribution groups. Furthermore, 2 of the 3 competitors surveyed during the local market test indicated that, in the event of a 10% increase in the prices of frozen products by the new entity, the consumers of the latter would turn to the offer of their stores. The third operator indicated that this shift would occur partially concerning the range of products available in its store.</w:t>
      </w:r>
    </w:p>
    <w:p>
      <w:r>
        <w:t>55. Therefore, given the results of the local market test, and the existence of a credible and sufficient alternative offer, any risk of harm to competition can be ruled out in the Tournelle area.</w:t>
      </w:r>
    </w:p>
    <w:p>
      <w:r>
        <w:t>56. Regarding the Louis-Blanc area29, located in Paris, the market share of the new entity will rise, following the operation, to [80-90]% with an addition of market shares of [0-5] points (i.e., 9 m² of sales area for frozen products). In this area, the new entity will still face competition from 5 competing stores belonging to 3 distinct food distribution groups. Furthermore, all competitors surveyed during the local market test indicated that, in the event of a 10% increase in the prices of frozen products by the new entity, the consumers of the latter would turn to the offer of their stores. Consequently, given the results of the local market test and the existence of a credible and sufficient alternative offer, any risk of harm to competition can be ruled out in the Louis-Blanc area.</w:t>
      </w:r>
    </w:p>
    <w:p>
      <w:r>
        <w:t>57. Regarding the Boulogne-Pont de Saint Cloud area30, located in the near suburbs of Paris, the market share of the new entity will rise, following the operation, to [50-60]% with an addition of market shares of [0-5] points (i.e., 5 m² of sales area for frozen products). In this area, the new entity will still face competition from 2 competing stores belonging to 2 distinct food distribution groups. Furthermore, all competitors surveyed during the local market test indicated that, in the event of a 10% increase in the prices of frozen products by the new entity, the consumers of the latter would turn to the offer of their stores. Consequently, given the results of the local market test and the existence of a credible and sufficient alternative offer, any risk of harm to competition can be ruled out in the Boulogne-Billancourt area.</w:t>
      </w:r>
    </w:p>
    <w:p>
      <w:r>
        <w:t>58. Similar to the situation described previously in the Prosny area, it is necessary to question the risk of coordinated effects in the retail market for frozen products in this area, as only three food distribution groups will remain following the operation. In this case, there is a strong asymmetry between the different players present in the area. Indeed, the new entity, the leading operator in the sector, will hold a market share of nearly [60-70]%, mainly linked to the operation of a store specialized in the distribution of frozen products, while the second will hold a market share of less than 20%.</w:t>
      </w:r>
    </w:p>
    <w:p>
      <w:r>
        <w:rPr>
          <w:b/>
        </w:rPr>
        <w:t>[Pages 13–14]</w:t>
      </w:r>
    </w:p>
    <w:p>
      <w:r>
        <w:t>market share of 35%, and will only operate one general food store. Consequently, any risk of coordinated competitive behavior in the Boulogne-Pont de Saint Cloud area can be dismissed due to the inability of the three operators to easily establish a common course of action.</w:t>
      </w:r>
    </w:p>
    <w:p>
      <w:r>
        <w:t>59. In addition to the local analysis, the main national competitors were surveyed regarding the anticipated effects of the operation on the retail distribution market for frozen products. Two-thirds of the operators indicated that the operation was not likely to hinder their access to the markets. This element confirms the above local analysis: national competitors will continue to exert competition on the new entity and will therefore be able to discipline it.</w:t>
      </w:r>
    </w:p>
    <w:p>
      <w:r>
        <w:t>60. Any risk of horizontal effect on the downstream market for the retail distribution of frozen products can therefore be dismissed.</w:t>
      </w:r>
    </w:p>
    <w:p>
      <w:r>
        <w:t>61. However, some respondents described a risk specifically related to a potential change in Picard's model. This point has therefore been the subject of specific analysis.</w:t>
      </w:r>
    </w:p>
    <w:p>
      <w:r>
        <w:t>C. ANALYSIS OF THE EFFECTS OF THE OPERATION IN THE EVENT OF A CHANGE IN THE PICARD STORE MODEL</w:t>
      </w:r>
    </w:p>
    <w:p>
      <w:r>
        <w:t>62. During the investigation, several competitors at both the national and local levels expressed concerns regarding the possible modification of the assortments of Picard stores, particularly through the addition of fresh products, or by transforming the stores currently under the Picard brand into stores under the GSA brand.</w:t>
      </w:r>
    </w:p>
    <w:p>
      <w:r>
        <w:t>63. It should be noted that such a change in the model of Picard-branded stores would represent a significant shift in the group's strategy, as it would lead to a modification of the assortment, or even a change of brand. However, following the operation, the Picard group will be jointly controlled by the Zouari family and the investment fund Lion Capital. In particular, [confidential], any substantial modification of the assortment of Picard stores, through the addition of a section or even a radical change of model to bring it closer to GSA, would require the agreement of both co-controlling companies.</w:t>
      </w:r>
    </w:p>
    <w:p>
      <w:r>
        <w:t>64. When questioned on this point during the investigation, the notifying parties indicated that a modification of the assortment of the stores, such as the addition of a fresh product offering, was not part of the development strategies currently being considered.</w:t>
      </w:r>
    </w:p>
    <w:p>
      <w:r>
        <w:t>65. Furthermore, it appears from the information provided by the notifying parties that the profitability of stores specializing in frozen products is significantly higher than that of generalist stores. Thus, the average margin rate of Picard stores is […]%, which is the highest profitability rate for food products, compared to 13 to 27% depending on the products for GSAs. In a sector analysis by Insee dated November 2015, it was notably observed that “[f]rozen products [marketed in GSA] are characterized by a high margin rate, significantly lower, however, than that of specialists in the field, with an assortment that may differ”31. These differences in profitability are also reflected in the earnings before interest, taxes, depreciation, and amortization of the stores concerned, as Picard's is [confidential]% while that of GSAs is much lower (less than 5% for Auchan, Carrefour, and Casino). Thus, a substitution of all or part of the assortment currently offered in Picard stores, to bring it closer to a GSA model, would likely lead to a decrease in the profitability of the target.</w:t>
      </w:r>
    </w:p>
    <w:p>
      <w:r>
        <w:t>66. Consequently, the companies controlling the Picard group, and in particular the investment fund Lion Capital, would have no incentive to engage in such an approach. The concerns raised by some respondents in the market test related to the change in the Picard group's model, consisting of an expansion of the range of products sold, or even a transformation of Picard stores into GSAs, can therefore be dismissed.</w:t>
      </w:r>
    </w:p>
    <w:p>
      <w:r>
        <w:t>67. Moreover, for several years now, urban convenience food brands have been entering the restaurant market32. Several brands have thus integrated dining spaces into their stores to target a hurried urban clientele. The information provided by the notifying parties confirms that such spaces exist in their stores, even if they remain very limited33.</w:t>
      </w:r>
    </w:p>
    <w:p>
      <w:r>
        <w:t>68. This activity could fit into the commercial restaurant market, particularly low-cost fast food (which includes “fast food,” “self-service,” and takeout/home delivery)34 which has already been identified by the Competition Authority. It has found that this market is characterized by a multitude of players in local catchment areas. Given the marginal presence of the parties in this market and the plurality of already established players, the operation would not alter the structure of this market and would therefore not generate any competition issues.</w:t>
      </w:r>
    </w:p>
    <w:p>
      <w:r>
        <w:t>69. Any competitive risk related to a change in the model of Picard stores can therefore be dismissed.</w:t>
      </w:r>
    </w:p>
    <w:p>
      <w:r>
        <w:t>DECIDES</w:t>
      </w:r>
    </w:p>
    <w:p>
      <w:r>
        <w:t>Single Article: The operation notified under number 19-260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