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https://www.autoritedelaconcurrence.fr/fr/decision-de-controle-des-concentrations/relative-la-prise-de-controle-conjoint-du-groupe-primonial</w:t>
      </w:r>
    </w:p>
    <w:p>
      <w:r>
        <w:t>Pages translated : 11</w:t>
      </w:r>
    </w:p>
    <w:p/>
    <w:p>
      <w:r>
        <w:rPr>
          <w:b/>
        </w:rPr>
        <w:t>[Pages 1–3]</w:t>
      </w:r>
    </w:p>
    <w:p>
      <w:r>
        <w:t xml:space="preserve">FRENCH REPUBLIC  </w:t>
        <w:br/>
        <w:t xml:space="preserve">Decision No. 14-DCC-84 of June 20, 2014  </w:t>
        <w:br/>
        <w:t xml:space="preserve">regarding the joint control of the Primonial group by the  </w:t>
        <w:br/>
        <w:t>companies Crédit Mutuel Arkéa and Primonial Management</w:t>
      </w:r>
    </w:p>
    <w:p>
      <w:r>
        <w:t xml:space="preserve">The Competition Authority,  </w:t>
        <w:br/>
        <w:t xml:space="preserve">Having regard to the notification file, submitted in full to the merger service on May 15, 2014,  </w:t>
        <w:br/>
        <w:t xml:space="preserve">regarding the joint control of the Primonial group by the companies Crédit Mutuel Arkéa and Primonial Management, formalized by the shareholders' agreement of the company Euro Arkéa 4 and the company Primonial Management dated April 1,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Crédit Mutuel Arkéa (hereinafter "Crédit Mutuel Arkéa") is at the head of the mutual banking group Crédit Mutuel Arkéa (hereinafter "CMA") which includes the federations of Crédit Mutuel de Bretagne ("CMB"), Crédit Mutuel du Sud-Ouest ("CMSO") and Crédit Mutuel du Massif Central ("CMMC")*, as well as about twenty subsidiaries1. The group's activities cover all sectors of banking, finance, insurance, and real estate.  </w:t>
        <w:br/>
        <w:t xml:space="preserve">* Correction of a material error.  </w:t>
        <w:br/>
        <w:t>1 Crédit Mutuel Arkéa, like the other regional federations of the Crédit Mutuel group, has legal and strategic autonomy from the national bodies of Crédit Mutuel, as it autonomously determines the policy and strategy of the entities attached to it, including in particular the commercial policy, budget, and business plan. See European Commission decisions COMP/M.5605, Crédit Mutuel / Monobank, September 8, 2009 and COMP/M.5432, Crédit Mutuel / Cofidis, February 24, 2009; the Authority's decision No. 09-DCC-86 of December 22, 2009 regarding the exclusive control of the company Monext Holding by the Crédit Mutuel Arkéa group and the decision of the Competition Authority No. 10-DCC-172 of November 29, 2010 regarding the exclusive control of the company Crédit Foncier et Communal d'Alsace et de Lorraine Banque by the company Crédit Mutuel Arkéa.</w:t>
      </w:r>
    </w:p>
    <w:p>
      <w:r>
        <w:t xml:space="preserve">2. The company Groupe Primonial, controlled by the Petitjean family via the company Neway Holding SAS, is at the head of the Primonial group. The latter's main activities are the selection, design, management, and advisory in investment solutions. It is therefore present in the sectors of banking services distribution, insurance, and real estate services.  </w:t>
        <w:br/>
        <w:t xml:space="preserve">3. Under the terms of the shareholders' agreement of the company Euro Arkéa 4, previously held by CMA*, and the company Primonial Management dated April 1, 2014, the operation, structured in several stages, will allow the company Euro Arkéa 4, renamed Primonial Holding, to absorb Groupe Primonial and all the stakes that this company held in the capital of its subsidiaries2 before the operation. Euro Arkéa 4 will be held at […] % by Primonial Management, a company created for the needs of the operation by the executives of the company Groupe Primonial and controlled by Mr. André Camo3, and at […] % by Crédit Mutuel Arkéa.  </w:t>
        <w:br/>
        <w:t xml:space="preserve">4. The governance of Primonial Holding, organized by the shareholders' agreement of April 1, 20144 and a draft of the bylaws5, provides that a supervisory committee composed of four members and deciding by simple majority, decides on strategic decisions, including the approval or modification of the annual budget and the "business plan", as well as the appointment and dismissal of the president. In accordance with the provisions of the shareholders' agreement6, two of the four members of the supervisory committee of Primonial Holding will be appointed on the proposal of Crédit Mutuel Arkéa and the other two on the proposal of Primonial Management. In light of these elements, Crédit Mutuel Arkéa and Primonial Management will be able to exercise a decisive influence on the strategic decisions of Primonial Holding following the operation.  </w:t>
        <w:br/>
        <w:t xml:space="preserve">5. As it leads to the joint control of the Primonial group by CMA and Mr. André Camo, via Primonial Management, the operation constitutes a concentration within the meaning of Article L. 430-1 of the Commercial Code.  </w:t>
        <w:br/>
        <w:t xml:space="preserve">6. The companies concerned together achieve a total worldwide turnover of more than 150 million euros (CMA group: […] euros for the fiscal year ending December 31, 2013; Primonial group: […] euros for the fiscal year ending December 31, 2013). Two of these companies achieve a turnover in France exceeding 50 million euros (CMA group: […] euros for the fiscal year ending December 31, 2013; Primonial group: […] euros). Given these turnover figures, the operation does not fall under the jurisdiction of the European Union, as the CMA and Primonial groups generate more than two-thirds of their turnover in France. However, the control thresholds mentioned in I of Article L. 430-2 of the Commercial Code are exceeded. This operation is therefore subject to the provisions of Articles L. 430-3 and following of the Commercial Code relating to economic concentration.  </w:t>
        <w:br/>
        <w:t xml:space="preserve">2 Following the operation, Primonial Holding will control all operational subsidiaries previously controlled by the company Groupe Primonial before the operation. It will hold 100% of the capital and voting rights of the companies Primonial SAS, Patrimmofi SAS, Parisii Gestion Privée SAS, Primonial Luxembourg SA, Groupe Primonial TI Inc. Canada, Primonial Courtage SAS, Voltaire Capital SAS, Primonial Asset Management SAS, and Sportinvest SAS. Furthermore, Primonial Holding will hold controlling majority stakes in the capital of the companies Primonial Reim SA, Sefal Property SAS, Altarocca AM SAS, and Roche Brune SAS.  </w:t>
        <w:br/>
        <w:t xml:space="preserve">3 Mr. Camo does not control any other company.  </w:t>
        <w:br/>
        <w:t xml:space="preserve">4 See Article 2.2.2.- "Supervisory Committee" of the shareholders' agreement of April 1, 2014.  </w:t>
        <w:br/>
        <w:t xml:space="preserve">5 See Article 22 of the draft bylaws of Primonial Holding, attached to the shareholders' agreement of April 1, 2014.  </w:t>
        <w:br/>
        <w:t xml:space="preserve">6 See Article 2.2.2.1 of the shareholders' agreement of April 1, 2014.  </w:t>
        <w:br/>
        <w:t>* Correction of a material error.</w:t>
      </w:r>
    </w:p>
    <w:p>
      <w:r>
        <w:t xml:space="preserve">II. Delimitation of the relevant markets  </w:t>
        <w:br/>
        <w:t xml:space="preserve">7. The CMA and Primonial groups are simultaneously present in the sectors of insurance, banking, and real estate services.  </w:t>
        <w:br/>
        <w:t xml:space="preserve">A. THE INSURANCE SECTOR  </w:t>
        <w:br/>
        <w:t xml:space="preserve">8. The CMA group is present in the upstream markets of "production" of personal insurance products and in the downstream markets of distribution of insurance products on behalf of third parties, while the Primonial group is only present in the downstream markets of distribution of insurance on behalf of third parties. These markets will therefore be analyzed in terms of vertical effects.  </w:t>
        <w:br/>
        <w:t xml:space="preserve">1. THE UPSTREAM MARKETS OF INSURANCE PRODUCTS  </w:t>
        <w:br/>
        <w:t xml:space="preserve">9. Within the insurance sector, decision-making practice7 consistently distinguishes between personal insurance and property and liability insurance, each of which can in turn be segmented into as many markets as there are insurances covering different types of risks or types of contracts, insofar as, from the demand perspective, these insurances or contracts differ and are not substitutable. Regarding the market for personal insurance, an additional segmentation can be made between collective insurance contracts, concluded between an insurer and a subscriber distinct from the beneficiary, and individual insurance contracts for which the subscriber is also the beneficiary8. Similarly, regarding the market for property and liability insurance, an additional segmentation can be made between insurances aimed at individuals and insurances aimed at professionals9.  </w:t>
        <w:br/>
        <w:t xml:space="preserve">10. Except for certain insurances covering large-scale risks, decision-making practice considers that insurance markets are of national dimension given consumer preferences, the existence of national legislation and tax constraints, the current structure of these markets, or the regulatory systems10 concerning this sector of activity.  </w:t>
        <w:br/>
        <w:t xml:space="preserve">7 See in particular the decisions of the European Commission COMP/M.5083 - Groupama / OTP Garancia of April 15, 2008, COMP/M.3556 - Fortis / BCP of January 19, 2005, as well as decisions No. 13-DCC-84 of July 4, 2013, regarding the affiliation of the interprofessional mutual SMI to the mutual insurance group Covéa, No. 10-DCC-52 of June 2, 2010 regarding the creation of a Mutual Insurance Group Company ("SGAM") by MACIF, MAIF, and MATMUT, and No. 11-DCC-97 of June 29, 2011 regarding the affiliation of the provident institution Apgis to the mutual insurance group Covéa.  </w:t>
        <w:br/>
        <w:t xml:space="preserve">8 See in particular the decision of the European Commission No. COMP / M.5083 cited above and decision No. 09-DCC-61 of November 4, 2009 regarding the exclusive control of the mutual Altéis and the mutual Releya by the mutual Prévadiès.  </w:t>
        <w:br/>
        <w:t xml:space="preserve">9 See for example the decisions of the Competition Authority No. 13-DCC-84, No. 10-DCC-52, or No. 11-DCC-97 cited above.  </w:t>
        <w:br/>
        <w:t>10 See in particular decision No. 10-DCC-52 cited above.</w:t>
      </w:r>
    </w:p>
    <w:p>
      <w:r>
        <w:rPr>
          <w:b/>
        </w:rPr>
        <w:t>[Pages 4–6]</w:t>
      </w:r>
    </w:p>
    <w:p>
      <w:r>
        <w:t>11. The CMA group is active in personal insurance and more specifically in the markets of (i) individual and collective provident insurance, (ii) individual and collective retirement savings, (iii) savings, in the form of collective or individual contracts.</w:t>
      </w:r>
    </w:p>
    <w:p>
      <w:r>
        <w:t>2. DOWNSTREAM MARKETS FOR THE DISTRIBUTION OF INSURANCE PRODUCTS ON BEHALF OF THIRD PARTIES</w:t>
      </w:r>
    </w:p>
    <w:p>
      <w:r>
        <w:t>12. The distribution of insurance products involves marketing and ensuring the administrative management of insurance guarantees or contracts where the risk is borne by third-party insurers. Competition authorities, both European and national, have left open the question of the precise delimitation of markets in this sector, with several segmentations being considered.</w:t>
      </w:r>
    </w:p>
    <w:p>
      <w:r>
        <w:t>13. A market limited to insurance brokerage has been considered in certain decisions of the European Commission. More recently, a broad market for the distribution of insurance products by independent intermediaries, encompassing all distribution channels (agents, brokers, and other intermediaries including banks), except for direct distribution by insurance companies, has been identified by European and national decision-making practice.</w:t>
      </w:r>
    </w:p>
    <w:p>
      <w:r>
        <w:t>14. The markets for the distribution of insurance products can also be segmented based on the category of insured risks (property insurance and personal insurance) and according to the clientele (businesses or individuals).</w:t>
      </w:r>
    </w:p>
    <w:p>
      <w:r>
        <w:t>15. Regarding their geographical delimitations, the markets for the distribution of insurance products on behalf of third parties have been primarily considered to be of national dimension.</w:t>
      </w:r>
    </w:p>
    <w:p>
      <w:r>
        <w:t>16. The question of the exact delimitation of the markets for the distribution of insurance products may be left open insofar as, regardless of the delimitation adopted, the conclusions of the competitive analysis will remain unchanged.</w:t>
      </w:r>
    </w:p>
    <w:p>
      <w:r>
        <w:t>17. The CMA and Primonial groups are simultaneously present in the market for the distribution on behalf of third parties of insurance products, and more specifically in the markets for the distribution of personal insurance.</w:t>
      </w:r>
    </w:p>
    <w:p>
      <w:r>
        <w:t>11 See in particular the letter from the Minister of Economy, Finance and Employment dated August 21, 2007, to the advisors of the AG2R Prévoyance provident institute and the company La Mondiale, regarding a concentration in the health and retirement provident insurance sector.</w:t>
      </w:r>
    </w:p>
    <w:p>
      <w:r>
        <w:t>12 See in particular the letter from the Minister of Economy C2008-77 dated October 28, 2008, to the advisors of the Mutuelle Harmonie Mutualité company and the decision of the Competition Authority n° 10-DCC-138 dated October 19, 2010, regarding the exclusive control of MFPrévoyance by CNP assurances.</w:t>
      </w:r>
    </w:p>
    <w:p>
      <w:r>
        <w:t>13 See in particular the aforementioned letter from the Minister C2008-77, the aforementioned decision of the Authority n°10-DCC-138, and the decision of the Competition Authority n°13-DCC-126 dated September 5, 2013, regarding the acquisition of Sofaxis by the mutual insurance company Sham.</w:t>
      </w:r>
    </w:p>
    <w:p>
      <w:r>
        <w:t>14 Decision of the European Commission n° COMP/M. 1280, KKR/Willis Corroon dated August 24, 1998. Decision of the European Commission n° COMP/M. 1307 Marsh &amp; McLennan / Sedgwick dated October 23, 1998.</w:t>
      </w:r>
    </w:p>
    <w:p>
      <w:r>
        <w:t>15 See for example the decisions of the Authority n° 11-DCC-117, 12-DCC-111, and 12-DCC-111; the decisions of the European Commission COMP/M.6053 – CVC/ Apollo/Brit Insurance dated January 19, 2011, and COMP/M.4284 - Axa/Winterthur dated August 28, 2006.</w:t>
      </w:r>
    </w:p>
    <w:p>
      <w:r>
        <w:t>B. THE BANKING SECTOR</w:t>
      </w:r>
    </w:p>
    <w:p>
      <w:r>
        <w:t>1. SERVICE MARKETS</w:t>
      </w:r>
    </w:p>
    <w:p>
      <w:r>
        <w:t>18. European and national decision-making practice traditionally distinguishes three categories of services:</w:t>
        <w:br/>
        <w:t>- banking services intended for individuals and households (retail banking);</w:t>
        <w:br/>
        <w:t>- banking services intended for businesses (commercial banking);</w:t>
        <w:br/>
        <w:t>- operations on financial markets (corporate and investment banking).</w:t>
      </w:r>
    </w:p>
    <w:p>
      <w:r>
        <w:t>19. Furthermore, decision-making practice has considered distinguishing a market for intermediation in banking operations, distinct from the markets for the provision of banking services.</w:t>
      </w:r>
    </w:p>
    <w:p>
      <w:r>
        <w:t>20. In this case, the parties are simultaneously involved in the sectors of retail banking and corporate and investment banking. Furthermore, Primonial is present in the market for intermediation in banking operations, particularly in the segment of the distribution of real estate financing products, which is downstream of the mortgage credit market, which falls under retail banking, where CMA is present.</w:t>
      </w:r>
    </w:p>
    <w:p>
      <w:r>
        <w:t>a) Retail banking markets</w:t>
      </w:r>
    </w:p>
    <w:p>
      <w:r>
        <w:t>21. It follows from decision-making practice that retail banking encompasses banking services aimed at individuals and households. Moreover, entrepreneurs have been considered as clients of retail banking, as their needs are closer to those of individuals than to those of commercial companies.</w:t>
      </w:r>
    </w:p>
    <w:p>
      <w:r>
        <w:t>22. For this entire clientele, the following markets have been analyzed: the market for demand deposits, the market for banking savings (notably savings bonds and non-immediately redeemable accounts such as term accounts), the market for off-balance-sheet savings (Variable Capital Investment Company, Mutual Fund, and pension funds), the mortgage credit market, the consumer credit market, the debt restructuring credit market, the market for the issuance of payment cards (issuance for clients), the private banking market, and the market for securities custody ("retail custody"). In this case, there is no need to challenge this delimitation.</w:t>
      </w:r>
    </w:p>
    <w:p>
      <w:r>
        <w:t>23. The CMA and Primonial groups are only simultaneously present in the off-balance-sheet savings market. Furthermore, CMA is present in the mortgage credit market, which will be examined under vertical effects as it is upstream of the market for intermediation in banking operations, where Primonial is present.</w:t>
      </w:r>
    </w:p>
    <w:p>
      <w:r>
        <w:t>16 See for example the decisions of the European Commission n°COMP / M.4844, Fortis / ABN AMRO Assets, dated October 3, 2007, and n° COMP / M. 2567, Nordbanken / Postgirot dated November 8, 2001.</w:t>
      </w:r>
    </w:p>
    <w:p>
      <w:r>
        <w:t>17 See in particular the letter from the Minister of Economy, Finance and Industry n°C2006-45 dated August 10, 2006, to the advisors of the National Savings Banks and the Federal Bank of Popular Banks, regarding a concentration in the banking services sector, the letter from the Minister of Economy, Finance and Industry n°2007-08 dated March 26, 2007, to the advisors of the Federal Bank of Popular Banks, regarding a concentration in the real estate services sector, the decision of the Competition Authority n°09-DCC-16 dated June 22, 2009, regarding the merger between the Caisse d’Epargne and Banque Populaire groups, and the decision of the Competition Authority n°10-DCC-116 dated September 10, 2010, regarding the exclusive control of the Société Marseillaise de Crédit bank by the Société Générale-Crédit du Nord group.</w:t>
      </w:r>
    </w:p>
    <w:p>
      <w:r>
        <w:t>18 See the aforementioned letter from the Minister n°2007-08 and the decision of the Competition Authority n°09-DCC-16.</w:t>
      </w:r>
    </w:p>
    <w:p>
      <w:r>
        <w:t>b) Corporate and investment banking markets</w:t>
      </w:r>
    </w:p>
    <w:p>
      <w:r>
        <w:t>24. Corporate and investment banking encompasses operations on financial markets. The French and European competition authorities have had the opportunity to distinguish, during the examination of previous merger operations, the markets of (i) asset management for companies and institutional clients, (ii) mergers and acquisitions advisory, (iii) underwriting and placement activities related to the issuance of corporate securities, (iv) activities and transactions on financial markets, and (v) activities on money markets.</w:t>
      </w:r>
    </w:p>
    <w:p>
      <w:r>
        <w:t>25. Decision-making practice has considered adopting a segmentation within the asset management market for companies and institutional clients between the activities of:</w:t>
        <w:br/>
        <w:t>(i) portfolio management (excluding real estate assets and excluding UCITS), which consists of optimizing the financial return of a portfolio of securities (stocks and/or bonds) held by a client;</w:t>
        <w:br/>
        <w:t>(ii) management of mutual funds of the UCITS type (which are divided into SICAV and FCP), which is an activity that consists of managing this type of collective investment fund for companies and institutional clients;</w:t>
        <w:br/>
        <w:t>(iii) private equity, which consists of an investor entering the capital of unlisted companies that need an equity injection. Several forms of intervention can be distinguished: venture capital to finance the startup of new businesses, development capital to finance the growth of the company, transmission capital (or LBO) intended to support the transfer or sale of the company, turnaround capital to assist in the recovery of a distressed company.</w:t>
      </w:r>
    </w:p>
    <w:p>
      <w:r>
        <w:t>26. The CMA and Primonial groups are only simultaneously present in the markets for asset management for companies and institutional clients.</w:t>
      </w:r>
    </w:p>
    <w:p>
      <w:r>
        <w:t>c) The market for intermediation in banking operations</w:t>
      </w:r>
    </w:p>
    <w:p>
      <w:r>
        <w:t>27. Decision-making practice has considered that the activity of intermediaries in banking operations such as brokers in real estate financing products could be distinguished from the activity of banks themselves. It has therefore considered the existence of a market for intermediation in banking operations, distinct from the market for the provision of banking services.</w:t>
      </w:r>
    </w:p>
    <w:p>
      <w:r>
        <w:t>28. Decision-making practice has considered segmenting this market based on the type of banking services distributed and the type of clients. It has notably considered the existence of a market.</w:t>
      </w:r>
    </w:p>
    <w:p>
      <w:r>
        <w:rPr>
          <w:b/>
        </w:rPr>
        <w:t>[Pages 7–9]</w:t>
      </w:r>
    </w:p>
    <w:p>
      <w:r>
        <w:t>of distribution of real estate financing products (mortgage products and consumer credit products used either for financing security deposits for properties distributed by a property management network or for financing works in condominiums) aimed at a clientele of individuals.</w:t>
      </w:r>
    </w:p>
    <w:p>
      <w:r>
        <w:t>29. In this case, the question of the precise delimitation of the markets for intermediation in banking operations can be left open since, regardless of the segmentation adopted, the conclusions of the competitive analysis will remain unchanged.</w:t>
      </w:r>
    </w:p>
    <w:p>
      <w:r>
        <w:t>30. Primonial is only active in the market for the distribution of mortgage loans aimed at individuals, which will be subject to an analysis regarding the vertical effects of the operation, given that CMA is present in the upstream market for the provision of mortgage loans.</w:t>
      </w:r>
    </w:p>
    <w:p>
      <w:r>
        <w:t>2. GEOGRAPHICAL MARKETS</w:t>
      </w:r>
    </w:p>
    <w:p>
      <w:r>
        <w:t>a) Retail banking markets</w:t>
      </w:r>
    </w:p>
    <w:p>
      <w:r>
        <w:t>31. National and European competition authorities have generally considered that retail banking markets are at most of national dimension, despite some community harmonization.</w:t>
      </w:r>
    </w:p>
    <w:p>
      <w:r>
        <w:t>32. Decision-making practice has also considered that, regarding banking services for individuals, the proximity of agencies is an important factor as these are primarily relational activities. It has also emphasized that competitive conditions in metropolitan territory are not homogeneous, particularly given the significant role played by mutual and cooperative networks in the French banking system, differences in the presence of banking groups, the adaptation of commercial strategies to the local competitive context, and the existence of regional banking brands. The competitive analysis has thus been conducted both at the national level and at the local level, with practice having retained, for the latter level, circles with a radius corresponding to a journey of about twenty minutes by car around a municipality.</w:t>
      </w:r>
    </w:p>
    <w:p>
      <w:r>
        <w:t>33. There is no reason to challenge this delimitation in the context of the present operation.</w:t>
      </w:r>
    </w:p>
    <w:p>
      <w:r>
        <w:t>b) Corporate and investment banking markets</w:t>
      </w:r>
    </w:p>
    <w:p>
      <w:r>
        <w:t>34. Regarding corporate and investment banking markets, competition authorities generally consider that these markets have at least a European dimension. In this case, the parties to the operation have provided their market shares at the national level on the grounds that they are only active in France.</w:t>
      </w:r>
    </w:p>
    <w:p>
      <w:r>
        <w:t>35. In any case, in the absence of any competitive difficulties regardless of the delimitation adopted, the question of the exact geographical definition of these markets can be left open.</w:t>
      </w:r>
    </w:p>
    <w:p>
      <w:r>
        <w:t>c) Markets for intermediation in banking operations</w:t>
      </w:r>
    </w:p>
    <w:p>
      <w:r>
        <w:t>36. Decision-making practice has considered that the market for intermediation in banking operations, and that for the distribution of real estate financing, is of national dimension, particularly due to the significant development of online brokers (Meilleurtaux, Empruntis).</w:t>
      </w:r>
    </w:p>
    <w:p>
      <w:r>
        <w:t>37. There is no reason to challenge this delimitation in the context of the present operation.</w:t>
      </w:r>
    </w:p>
    <w:p>
      <w:r>
        <w:t>C. THE REAL ESTATE SERVICES SECTOR</w:t>
      </w:r>
    </w:p>
    <w:p>
      <w:r>
        <w:t>a) Service markets</w:t>
      </w:r>
    </w:p>
    <w:p>
      <w:r>
        <w:t>38. National and European decision-making practice has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w:t>
      </w:r>
    </w:p>
    <w:p>
      <w:r>
        <w:t>39. Regarding segmentation according to the nature of the services or goods offered, decision-making practice has considered distinguishing:</w:t>
        <w:br/>
        <w:t>- real estate promotion, which includes construction and sale activities of real estate;</w:t>
        <w:br/>
        <w:t>- management of real estate assets for one's own account;</w:t>
        <w:br/>
        <w:t>- management of real estate assets for third parties;</w:t>
        <w:br/>
        <w:t>- administration of real estate, which covers the management activities of buildings on behalf of owners and can be segmented between rental management and condominium management;</w:t>
        <w:br/>
        <w:t>- real estate appraisal;</w:t>
        <w:br/>
        <w:t>- real estate advisory;</w:t>
        <w:br/>
        <w:t>- intermediation in real estate transactions, for which intermediation in purchase/sale operations is distinguished from intermediation in rental operations.</w:t>
      </w:r>
    </w:p>
    <w:p>
      <w:r>
        <w:t>40. In this case, the parties to the operation are simultaneously active in the markets of (i) management of real estate assets for third parties, (ii) intermediation in purchase/sale operations, and (iii) administration of real estate.</w:t>
      </w:r>
    </w:p>
    <w:p>
      <w:r>
        <w:t>41. There is no reason to challenge these segmentations in the context of the present operation.</w:t>
      </w:r>
    </w:p>
    <w:p>
      <w:r>
        <w:t>b) Geographical markets</w:t>
      </w:r>
    </w:p>
    <w:p>
      <w:r>
        <w:t>42. Decision-making practice considers that most real estate service markets are of infranational dimension, while leaving the question open. For regions other than the Île-de-France region, competition authorities have conducted their competitive analyses at the regional or infraregional level. They have thus examined the effects of an operation at the level of cities, urban areas, departments, or regions.</w:t>
      </w:r>
    </w:p>
    <w:p>
      <w:r>
        <w:t>43. The market for the management of real estate assets for third parties has been considered by decision-making practice as being of national dimension. The parties consider that this market is of national dimension because the activity of managing real estate assets for third parties is conducted through vehicles such as SCPI or OPCI, which each group several properties often located in different regions.</w:t>
      </w:r>
    </w:p>
    <w:p>
      <w:r>
        <w:t>44. In any case, the question of the exact delimitation of geographical markets in the real estate sector will be left open as the conclusions of the competitive analysis would remain unchanged regardless of the solutions adopted.</w:t>
      </w:r>
    </w:p>
    <w:p>
      <w:r>
        <w:t>45. In this case, the analysis will be conducted both at the national level for the markets of management of real estate assets for third parties, intermediation in purchase/sale operations, and administration of real estate, and at the level of each concerned city, namely the urban areas of Rennes and Bordeaux for the market of intermediation in real estate transactions and the urban area of Brest for the market of administration of real estate.</w:t>
      </w:r>
    </w:p>
    <w:p>
      <w:r>
        <w:t>III. Competitive Analysis</w:t>
      </w:r>
    </w:p>
    <w:p>
      <w:r>
        <w:t>A. ANALYSIS OF HORIZONTAL EFFECTS</w:t>
      </w:r>
    </w:p>
    <w:p>
      <w:r>
        <w:t>1. MARKETS IN THE INSURANCE SECTOR</w:t>
      </w:r>
    </w:p>
    <w:p>
      <w:r>
        <w:t>46. CMA and Primonial are simultaneously present in the French market for the distribution of personal insurance on behalf of third parties. Regardless of the segmentation adopted for this market, the combined market share of the parties is below [0-5]%.</w:t>
      </w:r>
    </w:p>
    <w:p>
      <w:r>
        <w:t>47. The operation is therefore not likely to harm competition in the market for the distribution of insurance on behalf of third parties through horizontal effects.</w:t>
      </w:r>
    </w:p>
    <w:p>
      <w:r>
        <w:rPr>
          <w:b/>
        </w:rPr>
        <w:t>[Pages 10–11]</w:t>
      </w:r>
    </w:p>
    <w:p>
      <w:r>
        <w:t xml:space="preserve">2. THE BANKING SECTOR MARKETS  </w:t>
        <w:br/>
        <w:t xml:space="preserve">a) The retail banking markets  </w:t>
        <w:br/>
        <w:t xml:space="preserve">48. In terms of retail banking, CMA and Primonial are only simultaneously present in the off-balance sheet savings market. CMA's market share is less than [0-5]% and Primonial's market share is less than [0-5]% in the French off-balance sheet savings market.  </w:t>
        <w:br/>
        <w:t xml:space="preserve">49. At the local level, the parties were unable to provide an accurate assessment of their market shares in areas within a 20-minute radius of each municipality where Primonial is located. However, Primonial's market share is less than [0-5]% in each of the departments where CMA is present.  </w:t>
        <w:br/>
        <w:t xml:space="preserve">50. In light of these elements, the operation is not likely to harm competition in the retail banking markets through horizontal effects.  </w:t>
        <w:br/>
        <w:t xml:space="preserve">b) The corporate and investment banking markets  </w:t>
        <w:br/>
        <w:t xml:space="preserve">51. In terms of corporate and investment banking, the CMA and Primonial groups are only simultaneously present in the French financial asset management market, and in each of the following three market segments defined by decision-making practice: (i) portfolio management, (ii) mutual fund management, (iii) private equity. In these markets, regardless of the segmentation adopted, the combined market share of CMA and Primonial is less than [0-5]%.  </w:t>
        <w:br/>
        <w:t xml:space="preserve">52. In light of these elements, the operation is not likely to harm competition in the corporate and investment banking markets through horizontal effects.  </w:t>
        <w:br/>
        <w:t xml:space="preserve">3. REAL ESTATE SERVICES MARKETS  </w:t>
        <w:br/>
        <w:t xml:space="preserve">53. In the markets of (i) real estate asset management on behalf of third parties, (ii) intermediation in real estate transactions, and (iii) property management, where CMA and Primonial are simultaneously present, the combined market shares of the parties will not exceed [5-10]%, regardless of the segmentation or geographical delimitation of the market.  </w:t>
        <w:br/>
        <w:t xml:space="preserve">54. Therefore, the operation is not likely to harm competition through horizontal effects in these various markets.  </w:t>
        <w:br/>
        <w:t xml:space="preserve">B. ANALYSIS OF VERTICAL EFFECTS  </w:t>
        <w:br/>
        <w:t xml:space="preserve">55.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Competition Authority considers that it is unlikely that a company with a market share of less than 30% in a given market can lock in a downstream or upstream market.  </w:t>
        <w:br/>
        <w:t xml:space="preserve">56. In this case, in the insurance sector, CMA is present in the personal insurance markets, located upstream of the markets for the distribution of personal insurance on behalf of third parties, where Primonial is present. Furthermore, in the banking sector, CMA is present in the mortgage credit market for individuals, located upstream of the banking intermediation market, where Primonial is present.  </w:t>
        <w:br/>
        <w:t xml:space="preserve">57. It is therefore necessary to analyze the vertical effects induced by the operation in these markets.  </w:t>
        <w:br/>
        <w:t xml:space="preserve">58. First, regarding the vertical links between personal insurance and the distribution of this insurance on behalf of third parties, it should be noted that CMA represents less than [0-5]% of the production of personal insurance, regardless of the segmentation adopted. In these markets, CMA faces competition from significant operators such as Generali, Cardiff, and Axa. Moreover, downstream, in the markets for the distribution of personal insurance on behalf of third parties, Primonial's market share is less than [0-5]%.  </w:t>
        <w:br/>
        <w:t xml:space="preserve">59. Secondly, regarding the vertical links between mortgage credit and banking intermediation, it should be noted that CMA holds a market share of [0-5]% at the national level in the upstream market for mortgage credit for individuals and a market share of less than [0-5]% in the market for mortgage credit for businesses. In the downstream market for banking intermediation, Primonial holds a market share of less than [0-5]% at the national level.  </w:t>
        <w:br/>
        <w:t xml:space="preserve">60. In light of these elements, the operation is not likely to harm competition through vertical effects in the markets for insurance, mortgage credit, and banking intermediation.  </w:t>
        <w:br/>
        <w:t xml:space="preserve">DECIDES  </w:t>
        <w:br/>
        <w:t xml:space="preserve">Sole Article: The operation notified under number 14-061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