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https://www.autoritedelaconcurrence.fr/fr/decision-de-controle-des-concentrations/relative-la-prise-de-controle-conjoint-du-groupe-rougnon-0</w:t>
      </w:r>
    </w:p>
    <w:p>
      <w:r>
        <w:t>Pages translated : 2</w:t>
      </w:r>
    </w:p>
    <w:p/>
    <w:p>
      <w:r>
        <w:rPr>
          <w:b/>
        </w:rPr>
        <w:t>[Pages 1–2]</w:t>
      </w:r>
    </w:p>
    <w:p>
      <w:r>
        <w:t xml:space="preserve">FRENCH REPUBLIC  </w:t>
        <w:br/>
        <w:t xml:space="preserve">Decision No. 19-DCC-135 of July 11, 2019  </w:t>
        <w:br/>
        <w:t xml:space="preserve">regarding the joint control acquisition of the Rougnon group by  </w:t>
        <w:br/>
        <w:t xml:space="preserve">HFR and Tikehau Capital companies  </w:t>
        <w:br/>
        <w:t xml:space="preserve">The Competition Authority,  </w:t>
        <w:br/>
        <w:t xml:space="preserve">Having regard to the complete notification file sent to the mergers department on June 25, 2019,  </w:t>
        <w:br/>
        <w:t xml:space="preserve">concerning the joint control acquisition of the company HGR and its subsidiaries (hereinafter "the Rougnon group") by the companies HFR and T2 Energy Transition Fund, a subsidiary of Tikehau Capital, formalized by a firm offer letter accepted on June 21,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Rougnon group by the companies HFR and Tikehau Capital. It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construction (main works and finishing works), multi-technical management and maintenance, electrical and climatic engineering works, and real estate services, which are consistently defined by the decision-making practice of the competition authorities.  </w:t>
        <w:br/>
        <w:t xml:space="preserve">3. Regardless of the segmentations retained, the cumulative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19-164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