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https://www.autoritedelaconcurrence.fr/fr/decision-de-controle-des-concentrations/relative-la-prise-de-controle-conjoint-du-groupe-rougnon-1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22-DCC-139 of July 26, 2022</w:t>
        <w:br/>
        <w:t>regarding the joint control acquisition of the Rougnon group by the</w:t>
        <w:br/>
        <w:t>companies HFR and Chevrillon &amp; Compagnie</w:t>
        <w:br/>
        <w:t>The Competition Authority,</w:t>
        <w:br/>
        <w:t>Having regard to the complete notification file submitted to the mergers department on July 7, 2022,</w:t>
        <w:br/>
        <w:t>concerning the joint control acquisition of the Rougnon group by the companies HFR and Chevrillon &amp; Compagnie, formalized by an investment promise dated June 28, 2022;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joint control acquisition of the Rougnon group, active in the</w:t>
        <w:br/>
        <w:t>building sector, electrical and climate engineering works, and multi-technical management by the companies HFR and Chevrillon &amp; Compagnie. It constitutes a concentration operation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The present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22-166 is authorized.</w:t>
        <w:br/>
        <w:t>The Vice-President,</w:t>
        <w:br/>
        <w:t>Fabienne Siredey-Garnier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