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https://www.autoritedelaconcurrence.fr/fr/decision-de-controle-des-concentrations/relative-la-prise-de-controle-conjoint-du-groupe-rougnon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15-DCC-60 of May 28, 2015</w:t>
        <w:br/>
        <w:t>regarding the joint control acquisition of the Rougnon group</w:t>
        <w:br/>
        <w:t>by the company HFR and the management company EDRIP</w:t>
        <w:br/>
        <w:t>The Competition Authority,</w:t>
        <w:br/>
        <w:t>Having regard to the complete notification file sent to the mergers department on April 28, 2015,</w:t>
        <w:br/>
        <w:t>concerning the joint control acquisition of the Rougnon group by the company Holding François</w:t>
        <w:br/>
        <w:t>Rougnon ("HFR") and the management company Edmond de Rothschild Investment Partners, and</w:t>
        <w:br/>
        <w:t>formalized by a memorandum of understanding dated April 23, 2015;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of the Rougnon group, active in the</w:t>
        <w:br/>
        <w:t>maintenance of technical installations of buildings, by the company Holding François</w:t>
        <w:br/>
        <w:t>Rougnon and the management company Edmond de Rothschild Investment Partners. This operation</w:t>
        <w:br/>
        <w:t>constitutes a concentration operation within the meaning of Article L. 430-1 of the Commercial Code.</w:t>
        <w:br/>
        <w:t>Given the turnover achieved by the concerned companies, the operation does not fall under the jurisdiction of the European Union. On the other hand, the control thresholds mentioned in point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15-067 is authorized.</w:t>
        <w:br/>
        <w:t>The Vice-President,</w:t>
        <w:br/>
        <w:t>Claire Favre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