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https://www.autoritedelaconcurrence.fr/fr/decision-de-controle-des-concentrations/relative-la-prise-de-controle-conjoint-du-groupe-sis-par-la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25-DCC-125 of June 3, 2025  </w:t>
        <w:br/>
        <w:t xml:space="preserve">regarding the joint control acquisition of the SIS group by the company  </w:t>
        <w:br/>
        <w:t xml:space="preserve">Maroquinerie Auguste Thomas and Mr. Chauvy  </w:t>
        <w:br/>
        <w:t xml:space="preserve">The Competition Authority,  </w:t>
        <w:br/>
        <w:t xml:space="preserve">Having regard to the complete notification file submitted to the mergers department on April 30, 2025,  </w:t>
        <w:br/>
        <w:t xml:space="preserve">concerning the joint control acquisition of the SIS group by the company Maroquinerie Auguste  </w:t>
        <w:br/>
        <w:t xml:space="preserve">Thomas and Mr. Jean-Yves Chauvy, formalized by the signing of a purchase promise on  </w:t>
        <w:br/>
        <w:t xml:space="preserve">April 24,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acquisition, by the company Maroquinerie  </w:t>
        <w:br/>
        <w:t xml:space="preserve">Auguste Thomas and Mr. Chauvy, of the SIS group, which is active in the sector of manufacturing  </w:t>
        <w:br/>
        <w:t xml:space="preserve">leather goods for luxury players. This operation constitutes a concentration within the meaning  </w:t>
        <w:br/>
        <w:t xml:space="preserve">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control thresholds mentioned in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25-094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