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https://www.autoritedelaconcurrence.fr/fr/decision-de-controle-des-concentrations/relative-la-prise-de-controle-conjoint-du-groupe-sogelink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14-DCC-65 of May 20, 2014  </w:t>
        <w:br/>
        <w:t xml:space="preserve">regarding the joint control acquisition of the Sogelink group  </w:t>
        <w:br/>
        <w:t xml:space="preserve">by Keensight Capital alongside FC LBO Partners  </w:t>
        <w:br/>
        <w:t xml:space="preserve">The Competition Authority,  </w:t>
        <w:br/>
        <w:t xml:space="preserve">Having regard to the complete notification file submitted to the mergers department on April 25, 2014,  </w:t>
        <w:br/>
        <w:t xml:space="preserve">concerning the joint control acquisition of the Sogelink group, via the company Socrate Groupe, by the  </w:t>
        <w:br/>
        <w:t xml:space="preserve">company Keensight Capital alongside the company FC LBO Partners and formalized by a  </w:t>
        <w:br/>
        <w:t xml:space="preserve">shareholders' agreement dated March 11, 2014;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results in the joint control acquisition of the Sogelink group by the  </w:t>
        <w:br/>
        <w:t xml:space="preserve">company Keensight Capital alongside the company FC LBO Partners. The Sogelink group is  </w:t>
        <w:br/>
        <w:t xml:space="preserve">active in the markets of document and data processing for third parties, business management services, and the design and publishing of software packages. This operation  </w:t>
        <w:br/>
        <w:t xml:space="preserve">constitutes a concentration operation within the meaning of Article L. 430-1 of the Commercial Code.  </w:t>
        <w:br/>
        <w:t xml:space="preserve">Given the turnover achieved by the concerned companies, the operation does not  </w:t>
        <w:br/>
        <w:t xml:space="preserve">fall under the jurisdiction of the European Union. On the other hand, the control thresholds  </w:t>
        <w:br/>
        <w:t xml:space="preserve">related to retail trade mentioned in point II of Article L. 430-2 of the Commercial 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14-027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