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https://www.autoritedelaconcurrence.fr/fr/decision-de-controle-des-concentrations/relative-la-prise-de-controle-conjoint-du-groupe-spherea</w:t>
      </w:r>
    </w:p>
    <w:p>
      <w:r>
        <w:t>Pages translated : 2</w:t>
      </w:r>
    </w:p>
    <w:p/>
    <w:p>
      <w:r>
        <w:rPr>
          <w:b/>
        </w:rPr>
        <w:t>[Pages 1–2]</w:t>
      </w:r>
    </w:p>
    <w:p>
      <w:r>
        <w:t xml:space="preserve">FRENCH REPUBLIC  </w:t>
        <w:br/>
        <w:t xml:space="preserve">Decision No. 19-DCC-49 of March 25, 2019  </w:t>
        <w:br/>
        <w:t xml:space="preserve">regarding the joint control acquisition of the Spherea group by  </w:t>
        <w:br/>
        <w:t xml:space="preserve">the companies Andera Partners and Omnes Capital  </w:t>
        <w:br/>
        <w:t xml:space="preserve">The Competition Authority,  </w:t>
        <w:br/>
        <w:t xml:space="preserve">Having regard to the complete notification file submitted to the mergers department on February 18, 2019,  </w:t>
        <w:br/>
        <w:t xml:space="preserve">concerning the exclusive control acquisition of the Spherea group by the companies Andera Partners and  </w:t>
        <w:br/>
        <w:t xml:space="preserve">Omnes Capital, formalized by a purchase agreement dated December 21, 2018;  </w:t>
        <w:br/>
        <w:t xml:space="preserve">Having regard to Book IV of the Commercial Code relating to the freedom of prices and competition, and  </w:t>
        <w:br/>
        <w:t xml:space="preserve">notably its Articles L. 430-1 to L. 430-7;  </w:t>
        <w:br/>
        <w:t xml:space="preserve">Having regard to the elements submitted during the investigation by the notifying party;  </w:t>
        <w:br/>
        <w:t xml:space="preserve">Adopts the following decision:  </w:t>
        <w:br/>
        <w:t xml:space="preserve">1. The notified operation consists of the joint control acquisition of the Spherea group, active in the  </w:t>
        <w:br/>
        <w:t xml:space="preserve">sector of the design and production of testing solutions for electronic and optronic systems for critical applications primarily aimed at the civil aviation, defense, energy, and railway sectors, by the companies Andera  </w:t>
        <w:br/>
        <w:t xml:space="preserve">Partners and Omnes Capital. It constitutes a concentration within the meaning of Article L. 430-1 of the  </w:t>
        <w:br/>
        <w:t xml:space="preserve">Commercial Code. Given the turnover achieved by the concerned companies, the operation does not fall under the jurisdiction of the European Union. However, the control thresholds related to retail trade mentioned in point I of Article L. 430-2 of the Commercial Code are exceeded. This operation is therefore subject to the provisions of Articles  </w:t>
        <w:br/>
        <w:t xml:space="preserve">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19-019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