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https://www.autoritedelaconcurrence.fr/fr/decision-de-controle-des-concentrations/relative-la-prise-de-controle-conjoint-du-groupe-square-par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17-DCC-189 of November 10, 2017</w:t>
        <w:br/>
        <w:t>regarding the joint control acquisition of the Square group by the company</w:t>
        <w:br/>
        <w:t>Abénex Capital and Mr. Jérôme Boucheron</w:t>
        <w:br/>
        <w:t>The Competition Authority,</w:t>
        <w:br/>
        <w:t>Having regard to the complete notification file submitted to the mergers department on October 9, 2017,</w:t>
        <w:br/>
        <w:t>concerning the joint control acquisition of the Square group by the company Abénex Capital and</w:t>
        <w:br/>
        <w:t>Mr. Jérôme Boucheron, as formalized by the main terms of the investment signed on July 7, 2017;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company Abénex Capital and</w:t>
        <w:br/>
        <w:t>Mr. Jérôme Boucheron of the Square group, which is primarily active in strategy consulting, organization, and operational consulting. It constitutes a concentration operation within the meaning of Article L. 430-1 of the Commercial Code. Given the turnover generated by the companies involved, the operation does not fall under the jurisdiction of the European Union. However, the control thresholds mentioned in point I of Article L. 430-2 of the Commercial Code are exceeded. This operation is therefore subject to the provisions of Articles L. 430-3 and following of the Commercial Code relating to economic concentration.</w:t>
        <w:br/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17-214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