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https://www.autoritedelaconcurrence.fr/fr/decision-de-controle-des-concentrations/relative-la-prise-de-controle-conjoint-du-groupe-tcr-par</w:t>
      </w:r>
    </w:p>
    <w:p>
      <w:r>
        <w:t>Pages translated : 2</w:t>
      </w:r>
    </w:p>
    <w:p/>
    <w:p>
      <w:r>
        <w:rPr>
          <w:b/>
        </w:rPr>
        <w:t>[Pages 1–2]</w:t>
      </w:r>
    </w:p>
    <w:p>
      <w:r>
        <w:t xml:space="preserve">REPUBLIC OF FRANCE  </w:t>
        <w:br/>
        <w:t xml:space="preserve">Decision No. 12-DCC-119 of August 30, 2012  </w:t>
        <w:br/>
        <w:t xml:space="preserve">regarding the joint control acquisition of the TCR group by Florac SAS and Chequers Partenaires SAS  </w:t>
        <w:br/>
        <w:t xml:space="preserve">The Competition Authority,  </w:t>
        <w:br/>
        <w:t xml:space="preserve">Having regard to the complete notification file submitted to the mergers department on July 26, 2012, concerning the joint control acquisition of the TCR group by Florac SAS and Chequers Partenaires, formalized in a memorandum of understanding dated July 24, 2012;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companies comprising the TCR group, active in the sector of rental services, fleet management, and sales of equipment intended for ground handling service companies, by Florac SAS, an investment holding company, alongside Chequers Partenaires SAS, a portfolio management company. It constitutes a concentration within the meaning of Article L. 430-1 of the Commercial Code. Given the turnover achieved by the companies concerned, the operation does not have a community dimension. However, the control thresholds mentioned in point I of Article L. 430-2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12-120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