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https://www.autoritedelaconcurrence.fr/fr/decision-de-controle-des-concentrations/relative-la-prise-de-controle-conjoint-du-groupe-terhills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REPUBLIC OF FRANCE  </w:t>
        <w:br/>
        <w:t xml:space="preserve">Decision No. 26-DCC-103 of April 24, 2026  </w:t>
        <w:br/>
        <w:t xml:space="preserve">regarding the joint control acquisition of the Terhills NV group by the  </w:t>
        <w:br/>
        <w:t xml:space="preserve">TTREF group and the Pierre &amp; Vacances - Center Parcs group  </w:t>
        <w:br/>
        <w:t xml:space="preserve">The Competition Authority,  </w:t>
        <w:br/>
        <w:t xml:space="preserve">Having regard to the complete notification file sent to the mergers department on April 8, 2026,  </w:t>
        <w:br/>
        <w:t xml:space="preserve">concerning the acquisition of control over the companies Terhills Vakantiepark NV, Immo Terhills Centrum  </w:t>
        <w:br/>
        <w:t xml:space="preserve">Faciliteiten NV, and Immo Terhills Villas NV by the company TTREF GP and an entity of the Pierre &amp; Vacances - Center Parcs group, formalized by the share transfer agreement of  </w:t>
        <w:br/>
        <w:t xml:space="preserve">March 6, 2026;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joint control acquisition of the Terhills Resorts group by the  </w:t>
        <w:br/>
        <w:t xml:space="preserve">investment fund TTREF GP and an entity of the Pierre &amp; Vacances - Center Parcs group.  </w:t>
        <w:br/>
        <w:t xml:space="preserve">Terhills Resorts is active in the real estate asset management sector. The operation  </w:t>
        <w:br/>
        <w:t xml:space="preserve">constitutes a concentration operation within the meaning of Article L. 430-1 of the Commercial Code.  </w:t>
        <w:br/>
        <w:t xml:space="preserve">Given the turnover achieved by the companies concerned, the operation does not fall  </w:t>
        <w:br/>
        <w:t xml:space="preserve">under the jurisdiction of the European Union. On the other hand, the control thresholds mentioned  </w:t>
        <w:br/>
        <w:t xml:space="preserve">in I of Article L. 430-2 of the Commercial Code are exceeded. This operation is therefore  </w:t>
        <w:br/>
        <w:t xml:space="preserve">subject to the provisions of Articles L. 430-3 and following of the Commercial Code relating to  </w:t>
        <w:br/>
        <w:t xml:space="preserve">economic concentration.  </w:t>
        <w:br/>
        <w:t xml:space="preserve">2. In light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26-094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