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https://www.autoritedelaconcurrence.fr/fr/decision-de-controle-des-concentrations/relative-la-prise-de-controle-conjoint-du-groupe-ubaldi-par</w:t>
      </w:r>
    </w:p>
    <w:p>
      <w:r>
        <w:t>Pages translated : 2</w:t>
      </w:r>
    </w:p>
    <w:p/>
    <w:p>
      <w:r>
        <w:rPr>
          <w:b/>
        </w:rPr>
        <w:t>[Pages 1–2]</w:t>
      </w:r>
    </w:p>
    <w:p>
      <w:r>
        <w:t xml:space="preserve">FRENCH REPUBLIC  </w:t>
        <w:br/>
        <w:t xml:space="preserve">Decision No. 23-DCC-103 of May 26, 2023  </w:t>
        <w:br/>
        <w:t xml:space="preserve">regarding the joint control of the Ubaldi group by the  </w:t>
        <w:br/>
        <w:t xml:space="preserve">Nobilia group and the company Gedecom  </w:t>
        <w:br/>
        <w:t xml:space="preserve">The Competition Authority,  </w:t>
        <w:br/>
        <w:t xml:space="preserve">Having regard to the complete notification file sent to the mergers department on May 9, 2023, concerning the joint control of the company Centrale d’achat Ubaldi, the parent company of the Ubaldi group, by the company Nobilia international Gmbh, a subsidiary of the Nobilia group, and Gedecom, formalized by an investment protocol dated February 16,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by the Nobilia group and the company Gedecom of the Ubaldi group, active in the markets of supply and retail sale of furniture and household appliances. The Ubaldi group is currently exclusively controlled by the company Gedecom. The notified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