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https://www.autoritedelaconcurrence.fr/fr/decision-de-controle-des-concentrations/relative-la-prise-de-controle-conjoint-du-pole-de</w:t>
      </w:r>
    </w:p>
    <w:p>
      <w:r>
        <w:t>Pages translated : 5</w:t>
      </w:r>
    </w:p>
    <w:p/>
    <w:p>
      <w:r>
        <w:rPr>
          <w:b/>
        </w:rPr>
        <w:t>[Pages 1–3]</w:t>
      </w:r>
    </w:p>
    <w:p>
      <w:r>
        <w:t xml:space="preserve">FRENCH REPUBLIC  </w:t>
        <w:br/>
        <w:t xml:space="preserve">Decision No. 13-DCC-80 of July 3, 2013  </w:t>
        <w:br/>
        <w:t>regarding the joint control of the urban skills hub in Bordeaux by the company Midi Foncière 2 and the Caisse des Dépôts et Consignations</w:t>
      </w:r>
    </w:p>
    <w:p>
      <w:r>
        <w:t xml:space="preserve">The Competition Authority,  </w:t>
        <w:br/>
        <w:t xml:space="preserve">Having regard to the notification file submitted in full to the merger service on May 30, 2013, regarding the joint control of the urban skills hub located in Bordeaux by the company Midi Foncière 2 and the Caisse des Dépôts et Consignations, formalized by a memorandum of understanding signed on December 19, 2012;  </w:t>
        <w:br/>
        <w:t xml:space="preserve">Having regard to Book IV of the Commercial Code relating to the freedom of prices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Midi Foncière 2 is a simplified joint-stock company whose capital is distributed among the companies Méditerranée Immobilier, ACMN Vie, and subsidiaries of BPCE, the latter holding together 66.5% of the capital and voting rights. Midi Foncière 2's activity consists of the acquisition, holding, enhancement (notably through reconstruction, renovation, development, and rehabilitation), operation, management, and administration of real estate properties it owns. BPCE is also active in the banking and insurance sectors through the Banque Populaires and Caisses d’Épargne networks as well as Natixis. BPCE also holds stakes in the real estate services sector, customer account management services, and private equity operations dedicated to SMEs.  </w:t>
        <w:br/>
        <w:t xml:space="preserve">2. The Caisse des Dépôts et Consignations (hereinafter, "the CDC") is a public establishment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areas: (i) real estate through the Société Nationale Immobilière and the company Icade, (ii) environment, (iii) services, and (iv) investment and private equity.  </w:t>
        <w:br/>
        <w:t xml:space="preserve">3. The target is an urban skills hub, with an area of 6,352 m² SHON, which is part of a larger real estate complex located in the "Bassins à Flots" area in Bordeaux and consists of buildings for office, educational, and commercial use. It is planned that these spaces will be leased to companies based on leases lasting several years.  </w:t>
        <w:br/>
        <w:t xml:space="preserve">4. However, the urban skills hub is acquired in a future state of completion and will therefore not generate any revenue from third parties on the day of acquisition. The entire target real estate complex is nevertheless subject to pre-marketing to potential tenants, and the pre-marketing of a minimum of […] % of the total usable area of the urban skills hub is a suspensive condition for the completion of the notified operation. The notifying party has provided in support of the notification letters from two potential tenants expressing their interest in leasing spaces of approximately […] m², representing […] % of the total area of the building, and has confirmed the imminent signing of leases with these two tenants. Given these elements, the target will constitute an economic activity at the date of completion of the operation, resulting in a presence in the relevant markets, to which revenue can be unambiguously attributed.  </w:t>
        <w:br/>
        <w:t xml:space="preserve">5. The notified operation, formalized by a memorandum of understanding signed on December 19, 2012, by Midi Foncière 2 and the CDC, consists of the acquisition of the target by the SCI PCU, created for the needs of the operation by Midi Foncière 2 and the CDC. The latter will exercise joint control over the target as they hold respectively […] % and […] % of the capital of the company and where, in accordance with the statutes of the SCI PCU, strategic decisions relating to its activity must be adopted by a three-quarters majority of the voting rights of the partners.  </w:t>
        <w:br/>
        <w:t xml:space="preserve">6. As it results in the joint control of the target by Midi Foncière 2 and the CDC, the operation constitutes a concentration within the meaning of Article L. 430-1 of the Commercial Code.  </w:t>
        <w:br/>
        <w:t>7. The concerned companies together achieve a total worldwide turnover of more than 150 million euros (BPCE: […] euros for the fiscal year ending December 31, 2012; CDC: […] euros for the same fiscal year; target: at least […] euros from 2015). Two of them have achieved, in France, a turnover exceeding 50 million euros (BPCE: […] euros for the fiscal year ending December 31, 2012; CDC: […] euros for the same fiscal year). The notification thresholds of Article 1 paragraph 1 of Regulation (EC) 139/2004 are exceeded, but since each of the concerned companies generates more than two-thirds of its turnover in the Union in France,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8. The operation results in an overlap of activities of the CDC, Midi Foncière 2, and the target asset in certain markets within the real estate sector.  </w:t>
        <w:br/>
        <w:t xml:space="preserve">9. National and European competition authorities have considered, while leaving the question open, different segmentations in the real estate services sector1 according to (i) the recipients of the services (individuals or businesses), (ii) the pricing method (free residential real estate and subsidized social or intermediate housing2), (iii) the type of activity conducted in the premises (offices, commercial premises, and other activity premises3), and (iv) the nature of the services or goods offered4.  </w:t>
        <w:br/>
        <w:t xml:space="preserve">10. Regarding the segmentation according to the nature of the services or goods offered, decision-making practice has considered the distinction between:  </w:t>
        <w:br/>
        <w:t xml:space="preserve">(i) real estate promotion which includes construction and sale activities of real estate properties;  </w:t>
        <w:br/>
        <w:t xml:space="preserve">(ii) management of real estate assets for one's own account;  </w:t>
        <w:br/>
        <w:t xml:space="preserve">(iii) management of real estate assets for third parties;  </w:t>
        <w:br/>
        <w:t xml:space="preserve">(iv) administration of real estate properties which covers the activities of managing buildings on behalf of owners and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the sale and rental of properties5.  </w:t>
        <w:br/>
        <w:t xml:space="preserve">11. In this case, the parties are simultaneously present in the market for holding and managing real estate assets for their own account of buildings for office use, other activities, and commercial use since the target only includes spaces for office, educational, and commercial use.  </w:t>
        <w:br/>
        <w:t xml:space="preserve">1 See in particular the decision of the Competition Authority No. 11-DCC-178 of December 13, 2011, regarding the joint control by the Caisse des Dépôts et Consignations and CNP Assurances of the company Malthazar SA; the decision of the Competition Authority No. 10-DCC-112 of September 17, 2010, regarding the joint control by Prédica and Altaréa of the company Alta Marigny Carré de Soi; the decision of the Competition Authority No. 10-DCC-13 of January 29, 2010, regarding the exclusive control by Icade S.A. of Compagnie la Lucette S.A.; the letter from the Minister of Economy, Industry and Employment C2008-79 of August 22, 2008, to the boards of the companies CDC and Eurosic, regarding a concentration in the real estate sector BOCCRF No. 8 bis of October 23, 2008; the decision of the European Commission of March 9, 2004, No. COMP/M.3370, BNP Paribas / ARI.  </w:t>
        <w:br/>
        <w:t xml:space="preserve">2 See the letter from the Minister of Economy, Finance and Industry C2002-112 of November 8, 2002, to the boards of the company Gecina regarding a concentration in the real estate assets sector, B.O.C.C.R.F. No. 2003-11.  </w:t>
        <w:br/>
        <w:t xml:space="preserve">3 See the letter from the Minister of Economy, Finance and Industry C2003-66 of April 17, 2003, to the boards of the company CBRE Holding Inc. regarding a concentration in the real estate services sector, B.O.C.C.R.F. No. 2003-11.  </w:t>
        <w:br/>
        <w:t xml:space="preserve">4 Letter from the Minister of Economy, Finance and Industry C2005-126 of January 25, 2006, to the boards of the company Perexia regarding a concentration in the real estate services sector, B.O.C.C.R.F. No. 2006-06; decision of the European Commission COMP/M.3370 cited above.  </w:t>
        <w:br/>
        <w:t>5 See the letter from the Minister of Economy, Finance and Industry C2005-126 cited above.</w:t>
      </w:r>
    </w:p>
    <w:p>
      <w:r>
        <w:rPr>
          <w:b/>
        </w:rPr>
        <w:t>[Pages 4–5]</w:t>
      </w:r>
    </w:p>
    <w:p>
      <w:r>
        <w:t>12. Regarding the segmentation according to the destination of the premises, a segmentation of commercial premises was considered, while being left open, between commercial premises located in shopping centers and commercial premises located at the foot of buildings, as well as a segmentation of shopping centers according to their size. In this case, only the segment of commercial premises located at the foot of buildings is concerned by the operation.</w:t>
      </w:r>
    </w:p>
    <w:p>
      <w:r>
        <w:t>13. There is no need to challenge these segmentations on the occasion of the present operation.</w:t>
      </w:r>
    </w:p>
    <w:p>
      <w:r>
        <w:t>B. GEOGRAPHICAL DELIMITATION OF MARKETS</w:t>
      </w:r>
    </w:p>
    <w:p>
      <w:r>
        <w:t>14. Decision-making practice considers that real estate service markets intended for individuals are of a local dimension. In contrast, operations related to markets of real estate services intended for businesses have been analyzed at both the local and national levels.</w:t>
      </w:r>
    </w:p>
    <w:p>
      <w:r>
        <w:t>15. Specifically regarding the market for the management for own account of real estate assets for office use, for regions other than the Île-de-France region, where the most appropriate level for competitive analysis is the regional level, competition authorities have conducted their competitive analyses at the regional or sub-regional level. In this case, the analysis will therefore be conducted at the scale of the Aquitaine region and at the scale of the Gironde department.</w:t>
      </w:r>
    </w:p>
    <w:p>
      <w:r>
        <w:t>16. The question of the exact delimitation of relevant markets may, however, be left open on the occasion of the present decision, as the conclusions of the competitive analysis remain unchanged regardless of the delimitations retained.</w:t>
      </w:r>
    </w:p>
    <w:p>
      <w:r>
        <w:t>III. Competitive Analysis</w:t>
      </w:r>
    </w:p>
    <w:p>
      <w:r>
        <w:t>A. ANALYSIS OF HORIZONTAL EFFECTS</w:t>
      </w:r>
    </w:p>
    <w:p>
      <w:r>
        <w:t>17. The activities of BPCE and CDC in this sector overlap at the national level, in the Aquitaine region, and in Gironde on the following potential markets:</w:t>
        <w:br/>
        <w:t>- the market for the management for own account of premises for office use;</w:t>
        <w:br/>
        <w:t>- the market for the management for own account of premises for commercial use;</w:t>
        <w:br/>
        <w:t>- the market for the management for own account of commercial premises at the foot of buildings;</w:t>
        <w:br/>
        <w:t>- the markets for the management for own account of premises for other activities.</w:t>
      </w:r>
    </w:p>
    <w:p>
      <w:r>
        <w:t>18. The combined market shares of BPCE and CDC do not exceed [0-5]% in any of these potential markets. With a total usable area of 5,612 m², the joint acquisition of the target building is therefore not likely to harm competition.</w:t>
      </w:r>
    </w:p>
    <w:p>
      <w:r>
        <w:t>B. ANALYSIS OF VERTICAL EFFECTS</w:t>
      </w:r>
    </w:p>
    <w:p>
      <w:r>
        <w:t>19. CDC as well as Midi Foncière and BPCE are active in other markets in the real estate sector intended for businesses. However, given the very limited position of the target in the markets concerned by the present operation, the risks of harming competition through vertical effects can be ruled out.</w:t>
      </w:r>
    </w:p>
    <w:p>
      <w:r>
        <w:t>DECIDES</w:t>
      </w:r>
    </w:p>
    <w:p>
      <w:r>
        <w:t>Sole Article: The operation notified under number 13-078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