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https://www.autoritedelaconcurrence.fr/fr/decision-de-controle-des-concentrations/relative-la-prise-de-controle-conjoint-dun-actif-0</w:t>
      </w:r>
    </w:p>
    <w:p>
      <w:r>
        <w:t>Pages translated : 5</w:t>
      </w:r>
    </w:p>
    <w:p/>
    <w:p>
      <w:r>
        <w:rPr>
          <w:b/>
        </w:rPr>
        <w:t>[Pages 1–3]</w:t>
      </w:r>
    </w:p>
    <w:p>
      <w:r>
        <w:t>FRENCH REPUBLIC</w:t>
        <w:br/>
        <w:t>Decision No. 15-DCC-128 of September 21, 2015</w:t>
        <w:br/>
        <w:t>regarding the joint control of a real estate asset located in Rennes by the BPCE group and the Caisse des Dépôts et Consignations</w:t>
        <w:br/>
        <w:t>The Competition Authority,</w:t>
        <w:br/>
        <w:t>Having regard to the notification file submitted in full to the merger control service on August 18, 2015, regarding the joint control of a real estate asset located in Rennes by the BPCE group and the Caisse des Dépôts et Consignations, formalized by a draft agreement dated July 30, 2015, as well as by a letter of intent dated June 19, 2015;</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The Banque Populaire Caisse d’Epargne group (hereinafter, "BPCE") is active in the banking and insurance sectors through the Banque Populaire and Caisse d’Épargne networks as well as Natixis. BPCE also holds stakes in the real estate services sector, customer account management services, and private equity operations dedicated to SMEs. In real estate, BPCE notably holds the company FBPL, active in the operation, management, administration, and leasing of real estate in the Brittany and Pays-de-Loire regions.</w:t>
        <w:br/>
        <w:t>2. The Caisse des Dépôts et Consignations (hereinafter, "the CDC")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special protection1.</w:t>
        <w:br/>
        <w:t>3. The target of the operation is a building to be constructed for office use located in Rennes, within the ZAC Maurepas Gayeulles and comprising nearly 3000 m² of rental space and 42 parking spaces. It is part of a real estate complex consisting of premises for office and commercial use.</w:t>
        <w:br/>
        <w:t>4. This building will be acquired under a contract for sale in the future state of completion (hereinafter "VEFA") and will therefore not generate any revenue from third parties on the day of acquisition. However, the building is already subject to a lease in the future state of completion ("BEF"), signed for a duration of 12 years with the civil real estate development company ("SCCV") Maurepas and the company CFA Grand Ouest. The building is therefore an asset expected to generate revenue in the short term and with certainty.</w:t>
        <w:br/>
        <w:t>5. The notified operation, formalized by a draft agreement dated July 30, 2015, as well as by a letter of intent dated June 19, 2015, consists of the acquisition of this building by the civil real estate company ("SCI") Rennes Meioza 2, created for the needs of the operation and held 60% by FBPL, a subsidiary of BPCE, and 40% by the CDC. The CDC and FBPL will exercise joint control over the target asset, insofar as, in accordance with the statutes and provisions of the shareholders' agreement of the SCI2, strategic decisions regarding its activity will be adopted unanimously by the partners.</w:t>
        <w:br/>
        <w:t>6. As it results in the joint control of the target by BPCE and the CDC, the operation constitutes a concentration within the meaning of Article L. 430-1 of the Commercial Code.</w:t>
        <w:br/>
        <w:t>7. The concerned companies together achieve a total worldwide turnover excluding tax of more than 150 million euros (BPCE: […] euros for the fiscal year ending December 31, 2014; CDC: […] euros for the same fiscal year). Each of these companies has achieved a turnover in France exceeding 50 million euros (BPCE: […] euros for the fiscal year ending December 31, 2014; CDC: […] euros for the same fiscal year). Given these turnover figures, the thresholds set out in Article 1, paragraph 2, a) and b) of Council Regulation (EC) No. 139/2004 of January 20, 2004 are met. However,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8. The operation leads to an overlap of activities in the real estate services sector.</w:t>
        <w:br/>
        <w:t>1 See Article L. 518-2 of the Monetary and Financial Code.</w:t>
        <w:br/>
        <w:t>2 Article 19 of the statutes of the SCI</w:t>
      </w:r>
    </w:p>
    <w:p>
      <w:r>
        <w:t>A. DELIMITATION OF PRODUCT AND SERVICE MARKETS</w:t>
        <w:br/>
        <w:t>9. National3 and European4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(offices5, commercial premises, and other activity premises6), and (iv) the nature of the services or goods offered.</w:t>
        <w:br/>
        <w:t>10. For this last segmentation, the following services have been identified:</w:t>
        <w:br/>
        <w:t>(i) real estate development, which includes construction and sale activities of real estate properties;</w:t>
        <w:br/>
        <w:t>(ii) asset management of real estate for one's own account;</w:t>
        <w:br/>
        <w:t>(iii) asset management of real estate for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leasing operations.</w:t>
        <w:br/>
        <w:t>11. In this case, the parties are simultaneously active in the markets for the management of real estate assets for their own account for office use.</w:t>
        <w:br/>
        <w:t>12. The question of the exact delineation of the markets in the real estate sector can, however, be left open as the conclusions of the competitive analysis of the present operation remain unchanged regardless of the hypotheses retained.</w:t>
        <w:br/>
        <w:t>3 See in particular the decision of the Competition Authority No. 09-DCC-16 of June 22, 2009, regarding the merger between the Caisse d’Épargne and Banque Populaire groups, decision No. 14-DCC-46 of April 1, 2014, regarding the joint control of an industrial real estate asset in Moselle by Norges Bank and Prologis, as well as decision C2008-79 / Letter from the Minister of Economy, Industry and Employment dated August 22, 2008, to the advisors of the CDC and Eurosic, regarding a concentration in the real estate sector, BOCCRF No. 8 bis of October 23, 2008.</w:t>
        <w:br/>
        <w:t>4 See the decisions of the European Commission COMP/M.2110 Deutsche Bank / SEI / JV of September 25, 2000, IV/M.2825 Fortis AG SA / Bernheim-Comofi SA of July 9, 2002, COMP/M.3370 BNP Paribas/ARI of March 9, 2004.</w:t>
        <w:br/>
        <w:t>5 See the decisions of the Competition Authority No. 12-DCC-156 of November 12, 2012, regarding the joint control of a civil real estate company for the acquisition of an office building by CNP Assurance and Sogecap, and No. 12-DCC-157 of November 15, 2012, regarding the joint control of a civil real estate company for the holding of an office building located in Lyon by the companies Prédica and the Caisse des Dépôts et Consignations.</w:t>
        <w:br/>
        <w:t>6 See in particular the decision of the Competition Authority No. 13-DCC-146 of October 22, 2013, regarding the joint control of a civil real estate company for the holding of a real estate asset for use as a nursing home by Foncière Malherbe Claudel (Crédit Agricole Group) and the Caisse des Dépôts et Consignations.</w:t>
      </w:r>
    </w:p>
    <w:p>
      <w:r>
        <w:rPr>
          <w:b/>
        </w:rPr>
        <w:t>[Pages 4–5]</w:t>
      </w:r>
    </w:p>
    <w:p>
      <w:r>
        <w:t xml:space="preserve">B. GEOGRAPHIC MARKETS  </w:t>
        <w:br/>
        <w:t xml:space="preserve">13. The decisional practice7 considers that the markets for real estate services intended for individuals are of a local dimension. However, transactions related to real estate services markets intended for businesses have been analyzed both at the local and national levels8.  </w:t>
        <w:br/>
        <w:t xml:space="preserve">14. Specifically regarding the market for the holding and management of real estate assets on one's own account, competition authorities have conducted their competitive analyses at the regional or sub-regional level. In this case, the analysis will therefore be conducted at the scale of the Brittany region, the department of Ille-et-Vilaine (35), and the city of Rennes.  </w:t>
        <w:br/>
        <w:t xml:space="preserve">15. The question of the exact delineation of the geographic markets in the real estate sector can, however, be left open insofar as the conclusions of the competitive analysis of the present operation would remain unchanged regardless of the solutions adopted.  </w:t>
        <w:br/>
        <w:t xml:space="preserve">III. Competitive Analysis  </w:t>
        <w:br/>
        <w:t xml:space="preserve">16. At the regional level (Brittany), departmental level (Ille-et-Vilaine (35)), and at the city level of Rennes, the parties estimate that they hold a market share of less than [5-10]% regardless of the segmentation adopted. The new entity will also remain subject to competition from numerous competing operators such as Gecina, Icade, Generali, or Axa.  </w:t>
        <w:br/>
        <w:t xml:space="preserve">17. Consequently, the operation is not likely to harm competition in the various markets for the holding and management of real estate assets on one's own account.  </w:t>
        <w:br/>
        <w:t xml:space="preserve">7 See the decision of the Competition Authority No. 12-DCC-18 of February 13, 2012, regarding the exclusive control of the real estate rental company for industry and commerce by Icade.  </w:t>
        <w:br/>
        <w:t>8 See in particular the decision 09-DCC-16 of June 22, 2009, of the Competition Authority regarding the merger between the Caisse d’Épargne and Banque Populaire groups and the letter from the Minister of Economy, Finance and Employment C2007-52, mentioned above.</w:t>
      </w:r>
    </w:p>
    <w:p>
      <w:r>
        <w:t xml:space="preserve">DECIDES  </w:t>
        <w:br/>
        <w:t xml:space="preserve">Sole Article: The operation notified under number 15-150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